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E0DCD" w14:textId="48349238" w:rsidR="00516B1E" w:rsidRPr="0040055E" w:rsidRDefault="00516B1E" w:rsidP="0040055E">
      <w:pPr>
        <w:spacing w:before="120"/>
        <w:jc w:val="both"/>
        <w:rPr>
          <w:rFonts w:ascii="Arial" w:hAnsi="Arial" w:cs="Arial"/>
          <w:b/>
          <w:lang w:bidi="es-ES"/>
        </w:rPr>
      </w:pPr>
      <w:r w:rsidRPr="0040055E">
        <w:rPr>
          <w:rFonts w:ascii="Arial" w:hAnsi="Arial" w:cs="Arial"/>
          <w:b/>
          <w:lang w:bidi="es-ES"/>
        </w:rPr>
        <w:t xml:space="preserve">SOLICITUD DE MODIFICACIÓN NORMAL DEL PLIEGO DE CONDICIONES DE LA DENOMINACIÓN DE ORIGEN PROTEGIDA </w:t>
      </w:r>
      <w:r w:rsidR="00147FE4">
        <w:rPr>
          <w:rFonts w:ascii="Arial" w:hAnsi="Arial" w:cs="Arial"/>
          <w:b/>
          <w:lang w:bidi="es-ES"/>
        </w:rPr>
        <w:t>PIMENTÓN DE MURCIA</w:t>
      </w:r>
    </w:p>
    <w:p w14:paraId="2ED430DD" w14:textId="77777777" w:rsidR="00516B1E" w:rsidRPr="0040055E" w:rsidRDefault="00516B1E" w:rsidP="0040055E">
      <w:pPr>
        <w:pStyle w:val="Ttulo1"/>
        <w:spacing w:before="120"/>
        <w:rPr>
          <w:rFonts w:ascii="Arial" w:hAnsi="Arial" w:cs="Arial"/>
          <w:sz w:val="22"/>
          <w:szCs w:val="22"/>
          <w:lang w:val="es-ES"/>
        </w:rPr>
      </w:pPr>
      <w:r w:rsidRPr="0040055E">
        <w:rPr>
          <w:rFonts w:ascii="Arial" w:hAnsi="Arial" w:cs="Arial"/>
          <w:sz w:val="22"/>
          <w:szCs w:val="22"/>
          <w:lang w:val="es-ES" w:bidi="es-ES"/>
        </w:rPr>
        <w:t>AGRUPACIÓN SOLICITANTE E INTERÉS LEGÍTIMO</w:t>
      </w:r>
    </w:p>
    <w:p w14:paraId="1D635B64" w14:textId="6C726DDF" w:rsidR="00516B1E" w:rsidRPr="0040055E" w:rsidRDefault="00516B1E" w:rsidP="0040055E">
      <w:pPr>
        <w:pStyle w:val="NormalCentered"/>
        <w:jc w:val="both"/>
        <w:rPr>
          <w:rFonts w:ascii="Arial" w:hAnsi="Arial" w:cs="Arial"/>
          <w:sz w:val="22"/>
          <w:szCs w:val="22"/>
          <w:lang w:val="es-ES"/>
        </w:rPr>
      </w:pPr>
      <w:r w:rsidRPr="0040055E">
        <w:rPr>
          <w:rFonts w:ascii="Arial" w:hAnsi="Arial" w:cs="Arial"/>
          <w:sz w:val="22"/>
          <w:szCs w:val="22"/>
          <w:lang w:val="es-ES"/>
        </w:rPr>
        <w:t>Consejo Regulador de la Denominación de Origen Protegida «</w:t>
      </w:r>
      <w:r w:rsidR="00147FE4">
        <w:rPr>
          <w:rFonts w:ascii="Arial" w:hAnsi="Arial" w:cs="Arial"/>
          <w:sz w:val="22"/>
          <w:szCs w:val="22"/>
          <w:lang w:val="es-ES"/>
        </w:rPr>
        <w:t>Pimentón de Murcia</w:t>
      </w:r>
      <w:r w:rsidRPr="0040055E">
        <w:rPr>
          <w:rFonts w:ascii="Arial" w:hAnsi="Arial" w:cs="Arial"/>
          <w:sz w:val="22"/>
          <w:szCs w:val="22"/>
          <w:lang w:val="es-ES"/>
        </w:rPr>
        <w:t xml:space="preserve">» </w:t>
      </w:r>
    </w:p>
    <w:p w14:paraId="07B5BB49" w14:textId="77777777" w:rsidR="00516B1E" w:rsidRPr="0040055E" w:rsidRDefault="00516B1E" w:rsidP="0040055E">
      <w:pPr>
        <w:pStyle w:val="Text1"/>
        <w:ind w:left="0"/>
        <w:rPr>
          <w:rFonts w:ascii="Arial" w:hAnsi="Arial" w:cs="Arial"/>
          <w:sz w:val="22"/>
          <w:szCs w:val="22"/>
          <w:lang w:val="es-ES" w:eastAsia="es-ES"/>
        </w:rPr>
      </w:pPr>
      <w:r w:rsidRPr="0040055E">
        <w:rPr>
          <w:rFonts w:ascii="Arial" w:hAnsi="Arial" w:cs="Arial"/>
          <w:sz w:val="22"/>
          <w:szCs w:val="22"/>
          <w:lang w:val="es-ES" w:eastAsia="es-ES"/>
        </w:rPr>
        <w:t xml:space="preserve">El Consejo Regulador es la agrupación representante de los operadores, oficialmente reconocido para la gestión de la DOP, de acuerdo con lo establecido en la normativa vigente </w:t>
      </w:r>
      <w:r w:rsidR="008454E3" w:rsidRPr="0040055E">
        <w:rPr>
          <w:rFonts w:ascii="Arial" w:hAnsi="Arial" w:cs="Arial"/>
          <w:sz w:val="22"/>
          <w:szCs w:val="22"/>
          <w:lang w:val="es-ES" w:eastAsia="es-ES"/>
        </w:rPr>
        <w:t>donde</w:t>
      </w:r>
      <w:r w:rsidRPr="0040055E">
        <w:rPr>
          <w:rFonts w:ascii="Arial" w:hAnsi="Arial" w:cs="Arial"/>
          <w:sz w:val="22"/>
          <w:szCs w:val="22"/>
          <w:lang w:val="es-ES" w:eastAsia="es-ES"/>
        </w:rPr>
        <w:t xml:space="preserve"> tiene definido en sus fines y funciones las competencias para la propuesta de modificaciones del pliego de condiciones.</w:t>
      </w:r>
    </w:p>
    <w:p w14:paraId="61DE9C96" w14:textId="77777777" w:rsidR="00516B1E" w:rsidRPr="0040055E" w:rsidRDefault="00516B1E" w:rsidP="0040055E">
      <w:pPr>
        <w:pStyle w:val="Text1"/>
        <w:ind w:left="0"/>
        <w:rPr>
          <w:rFonts w:ascii="Arial" w:hAnsi="Arial" w:cs="Arial"/>
          <w:sz w:val="22"/>
          <w:szCs w:val="22"/>
          <w:lang w:val="es-ES" w:eastAsia="es-ES"/>
        </w:rPr>
      </w:pPr>
    </w:p>
    <w:p w14:paraId="342A01C2" w14:textId="77777777" w:rsidR="00516B1E" w:rsidRPr="0040055E" w:rsidRDefault="00516B1E" w:rsidP="0040055E">
      <w:pPr>
        <w:pStyle w:val="Ttulo1"/>
        <w:spacing w:before="120"/>
        <w:rPr>
          <w:rFonts w:ascii="Arial" w:hAnsi="Arial" w:cs="Arial"/>
          <w:sz w:val="22"/>
          <w:szCs w:val="22"/>
          <w:lang w:val="es-ES" w:bidi="es-ES"/>
        </w:rPr>
      </w:pPr>
      <w:r w:rsidRPr="0040055E">
        <w:rPr>
          <w:rFonts w:ascii="Arial" w:hAnsi="Arial" w:cs="Arial"/>
          <w:sz w:val="22"/>
          <w:szCs w:val="22"/>
          <w:lang w:val="es-ES" w:bidi="es-ES"/>
        </w:rPr>
        <w:t>CLASIFICACIÓN DE LA MODIFICACIÓN</w:t>
      </w:r>
    </w:p>
    <w:p w14:paraId="4A922C18" w14:textId="444588FE" w:rsidR="00516B1E" w:rsidRPr="0040055E" w:rsidRDefault="00516B1E" w:rsidP="0040055E">
      <w:pPr>
        <w:pStyle w:val="Text1"/>
        <w:ind w:left="0"/>
        <w:rPr>
          <w:rFonts w:ascii="Arial" w:hAnsi="Arial" w:cs="Arial"/>
          <w:sz w:val="22"/>
          <w:szCs w:val="22"/>
          <w:lang w:val="es-ES"/>
        </w:rPr>
      </w:pPr>
      <w:r w:rsidRPr="0040055E">
        <w:rPr>
          <w:rFonts w:ascii="Arial" w:hAnsi="Arial" w:cs="Arial"/>
          <w:sz w:val="22"/>
          <w:szCs w:val="22"/>
          <w:lang w:val="es-ES"/>
        </w:rPr>
        <w:t>La modificaci</w:t>
      </w:r>
      <w:r w:rsidR="000048A3">
        <w:rPr>
          <w:rFonts w:ascii="Arial" w:hAnsi="Arial" w:cs="Arial"/>
          <w:sz w:val="22"/>
          <w:szCs w:val="22"/>
          <w:lang w:val="es-ES"/>
        </w:rPr>
        <w:t>ón</w:t>
      </w:r>
      <w:r w:rsidRPr="0040055E">
        <w:rPr>
          <w:rFonts w:ascii="Arial" w:hAnsi="Arial" w:cs="Arial"/>
          <w:sz w:val="22"/>
          <w:szCs w:val="22"/>
          <w:lang w:val="es-ES"/>
        </w:rPr>
        <w:t xml:space="preserve"> que se describe y motiva a continuación </w:t>
      </w:r>
      <w:r w:rsidR="00CD7ADE" w:rsidRPr="0040055E">
        <w:rPr>
          <w:rFonts w:ascii="Arial" w:hAnsi="Arial" w:cs="Arial"/>
          <w:sz w:val="22"/>
          <w:szCs w:val="22"/>
          <w:lang w:val="es-ES"/>
        </w:rPr>
        <w:t xml:space="preserve">se realiza sobre un producto de origen </w:t>
      </w:r>
      <w:r w:rsidR="00147FE4">
        <w:rPr>
          <w:rFonts w:ascii="Arial" w:hAnsi="Arial" w:cs="Arial"/>
          <w:sz w:val="22"/>
          <w:szCs w:val="22"/>
          <w:lang w:val="es-ES"/>
        </w:rPr>
        <w:t>vegetal</w:t>
      </w:r>
      <w:r w:rsidR="00CD7ADE" w:rsidRPr="0040055E">
        <w:rPr>
          <w:rFonts w:ascii="Arial" w:hAnsi="Arial" w:cs="Arial"/>
          <w:sz w:val="22"/>
          <w:szCs w:val="22"/>
          <w:lang w:val="es-ES"/>
        </w:rPr>
        <w:t>;</w:t>
      </w:r>
      <w:r w:rsidRPr="0040055E">
        <w:rPr>
          <w:rFonts w:ascii="Arial" w:hAnsi="Arial" w:cs="Arial"/>
          <w:sz w:val="22"/>
          <w:szCs w:val="22"/>
          <w:lang w:val="es-ES"/>
        </w:rPr>
        <w:t xml:space="preserve"> no conllevan un riesgo de anular el vínculo, ni implican nuevas restricciones a la comercialización del producto. Por tanto, dichas modificaciones se califican como «modificaciones normales» de conformidad con la definición que establece el artículo </w:t>
      </w:r>
      <w:r w:rsidR="008454E3" w:rsidRPr="0040055E">
        <w:rPr>
          <w:rFonts w:ascii="Arial" w:hAnsi="Arial" w:cs="Arial"/>
          <w:sz w:val="22"/>
          <w:szCs w:val="22"/>
          <w:lang w:val="es-ES"/>
        </w:rPr>
        <w:t xml:space="preserve">24 del Reglamento (UE) </w:t>
      </w:r>
      <w:proofErr w:type="spellStart"/>
      <w:r w:rsidR="008454E3" w:rsidRPr="0040055E">
        <w:rPr>
          <w:rFonts w:ascii="Arial" w:hAnsi="Arial" w:cs="Arial"/>
          <w:sz w:val="22"/>
          <w:szCs w:val="22"/>
          <w:lang w:val="es-ES"/>
        </w:rPr>
        <w:t>nº</w:t>
      </w:r>
      <w:proofErr w:type="spellEnd"/>
      <w:r w:rsidR="008454E3" w:rsidRPr="0040055E">
        <w:rPr>
          <w:rFonts w:ascii="Arial" w:hAnsi="Arial" w:cs="Arial"/>
          <w:sz w:val="22"/>
          <w:szCs w:val="22"/>
          <w:lang w:val="es-ES"/>
        </w:rPr>
        <w:t xml:space="preserve"> 2024</w:t>
      </w:r>
      <w:r w:rsidRPr="0040055E">
        <w:rPr>
          <w:rFonts w:ascii="Arial" w:hAnsi="Arial" w:cs="Arial"/>
          <w:sz w:val="22"/>
          <w:szCs w:val="22"/>
          <w:lang w:val="es-ES"/>
        </w:rPr>
        <w:t>/</w:t>
      </w:r>
      <w:r w:rsidR="008454E3" w:rsidRPr="0040055E">
        <w:rPr>
          <w:rFonts w:ascii="Arial" w:hAnsi="Arial" w:cs="Arial"/>
          <w:sz w:val="22"/>
          <w:szCs w:val="22"/>
          <w:lang w:val="es-ES"/>
        </w:rPr>
        <w:t xml:space="preserve">1143 del Parlamento Europeo y del Consejo de 11 de abril de 2024 relativo a las indicaciones geográficas para vinos, bebidas espirituosas y productos agrícolas, así como especialidades tradicionales garantizadas y términos de calidad facultativos para productos agrícolas, por el que se modifican los Reglamentos (UE) </w:t>
      </w:r>
      <w:proofErr w:type="spellStart"/>
      <w:r w:rsidR="008454E3" w:rsidRPr="0040055E">
        <w:rPr>
          <w:rFonts w:ascii="Arial" w:hAnsi="Arial" w:cs="Arial"/>
          <w:sz w:val="22"/>
          <w:szCs w:val="22"/>
          <w:lang w:val="es-ES"/>
        </w:rPr>
        <w:t>nº</w:t>
      </w:r>
      <w:proofErr w:type="spellEnd"/>
      <w:r w:rsidR="008454E3" w:rsidRPr="0040055E">
        <w:rPr>
          <w:rFonts w:ascii="Arial" w:hAnsi="Arial" w:cs="Arial"/>
          <w:sz w:val="22"/>
          <w:szCs w:val="22"/>
          <w:lang w:val="es-ES"/>
        </w:rPr>
        <w:t xml:space="preserve"> 1308/2013, (UE) 2019/787 y (UE) 2019/1753, y se deroga el Reglamento (UE) </w:t>
      </w:r>
      <w:proofErr w:type="spellStart"/>
      <w:r w:rsidR="008454E3" w:rsidRPr="0040055E">
        <w:rPr>
          <w:rFonts w:ascii="Arial" w:hAnsi="Arial" w:cs="Arial"/>
          <w:sz w:val="22"/>
          <w:szCs w:val="22"/>
          <w:lang w:val="es-ES"/>
        </w:rPr>
        <w:t>nº</w:t>
      </w:r>
      <w:proofErr w:type="spellEnd"/>
      <w:r w:rsidR="008454E3" w:rsidRPr="0040055E">
        <w:rPr>
          <w:rFonts w:ascii="Arial" w:hAnsi="Arial" w:cs="Arial"/>
          <w:sz w:val="22"/>
          <w:szCs w:val="22"/>
          <w:lang w:val="es-ES"/>
        </w:rPr>
        <w:t xml:space="preserve"> 1151/2012.</w:t>
      </w:r>
    </w:p>
    <w:p w14:paraId="64B26C88" w14:textId="77777777" w:rsidR="00516B1E" w:rsidRPr="0040055E" w:rsidRDefault="00516B1E" w:rsidP="0040055E">
      <w:pPr>
        <w:pStyle w:val="Text1"/>
        <w:ind w:left="0"/>
        <w:rPr>
          <w:rFonts w:ascii="Arial" w:hAnsi="Arial" w:cs="Arial"/>
          <w:sz w:val="22"/>
          <w:szCs w:val="22"/>
          <w:lang w:val="es-ES"/>
        </w:rPr>
      </w:pPr>
    </w:p>
    <w:p w14:paraId="2BFA991D" w14:textId="77777777" w:rsidR="00516B1E" w:rsidRPr="0040055E" w:rsidRDefault="00516B1E" w:rsidP="0040055E">
      <w:pPr>
        <w:pStyle w:val="Ttulo1"/>
        <w:spacing w:before="120"/>
        <w:rPr>
          <w:rFonts w:ascii="Arial" w:hAnsi="Arial" w:cs="Arial"/>
          <w:sz w:val="22"/>
          <w:szCs w:val="22"/>
          <w:lang w:val="es-ES"/>
        </w:rPr>
      </w:pPr>
      <w:r w:rsidRPr="0040055E">
        <w:rPr>
          <w:rFonts w:ascii="Arial" w:hAnsi="Arial" w:cs="Arial"/>
          <w:sz w:val="22"/>
          <w:szCs w:val="22"/>
          <w:lang w:val="es-ES" w:bidi="es-ES"/>
        </w:rPr>
        <w:t>DESCRIPCIÓN Y MOTIVOS DE LAS MODIFICACIONES</w:t>
      </w:r>
    </w:p>
    <w:p w14:paraId="47D0C31A" w14:textId="0742E201" w:rsidR="00516B1E" w:rsidRPr="0040055E" w:rsidRDefault="008454E3" w:rsidP="0040055E">
      <w:pPr>
        <w:pStyle w:val="Ttulo2"/>
        <w:rPr>
          <w:rFonts w:ascii="Arial" w:hAnsi="Arial" w:cs="Arial"/>
          <w:sz w:val="22"/>
          <w:szCs w:val="22"/>
          <w:lang w:val="es-ES"/>
        </w:rPr>
      </w:pPr>
      <w:r w:rsidRPr="0040055E">
        <w:rPr>
          <w:rFonts w:ascii="Arial" w:hAnsi="Arial" w:cs="Arial"/>
          <w:sz w:val="22"/>
          <w:szCs w:val="22"/>
          <w:lang w:val="es-ES"/>
        </w:rPr>
        <w:t xml:space="preserve">Modificación de la </w:t>
      </w:r>
      <w:r w:rsidR="005A51A0">
        <w:rPr>
          <w:rFonts w:ascii="Arial" w:hAnsi="Arial" w:cs="Arial"/>
          <w:sz w:val="22"/>
          <w:szCs w:val="22"/>
          <w:lang w:val="es-ES"/>
        </w:rPr>
        <w:t>descripción sucinta de la zona geográfica</w:t>
      </w:r>
      <w:r w:rsidRPr="0040055E">
        <w:rPr>
          <w:rFonts w:ascii="Arial" w:hAnsi="Arial" w:cs="Arial"/>
          <w:sz w:val="22"/>
          <w:szCs w:val="22"/>
          <w:lang w:val="es-ES"/>
        </w:rPr>
        <w:t>.</w:t>
      </w:r>
    </w:p>
    <w:p w14:paraId="2ED9A6EB" w14:textId="51B3E541" w:rsidR="008454E3" w:rsidRPr="0040055E" w:rsidRDefault="008454E3" w:rsidP="0040055E">
      <w:pPr>
        <w:jc w:val="both"/>
        <w:rPr>
          <w:rFonts w:ascii="Arial" w:hAnsi="Arial" w:cs="Arial"/>
        </w:rPr>
      </w:pPr>
      <w:r w:rsidRPr="0040055E">
        <w:rPr>
          <w:rFonts w:ascii="Arial" w:hAnsi="Arial" w:cs="Arial"/>
        </w:rPr>
        <w:t xml:space="preserve">La presente modificación afecta al apartado </w:t>
      </w:r>
      <w:r w:rsidR="005A51A0">
        <w:rPr>
          <w:rFonts w:ascii="Arial" w:hAnsi="Arial" w:cs="Arial"/>
        </w:rPr>
        <w:t>C</w:t>
      </w:r>
      <w:r w:rsidRPr="0040055E">
        <w:rPr>
          <w:rFonts w:ascii="Arial" w:hAnsi="Arial" w:cs="Arial"/>
        </w:rPr>
        <w:t>) «</w:t>
      </w:r>
      <w:r w:rsidR="005A51A0">
        <w:rPr>
          <w:rFonts w:ascii="Arial" w:hAnsi="Arial" w:cs="Arial"/>
        </w:rPr>
        <w:t xml:space="preserve">Zona geográfica» </w:t>
      </w:r>
      <w:r w:rsidR="00045AF6">
        <w:rPr>
          <w:rFonts w:ascii="Arial" w:hAnsi="Arial" w:cs="Arial"/>
        </w:rPr>
        <w:t>del pliego de condiciones</w:t>
      </w:r>
      <w:r w:rsidRPr="0040055E">
        <w:rPr>
          <w:rFonts w:ascii="Arial" w:hAnsi="Arial" w:cs="Arial"/>
        </w:rPr>
        <w:t xml:space="preserve"> y al apartado </w:t>
      </w:r>
      <w:r w:rsidR="005A51A0">
        <w:rPr>
          <w:rFonts w:ascii="Arial" w:hAnsi="Arial" w:cs="Arial"/>
        </w:rPr>
        <w:t>4</w:t>
      </w:r>
      <w:r w:rsidRPr="0040055E">
        <w:rPr>
          <w:rFonts w:ascii="Arial" w:hAnsi="Arial" w:cs="Arial"/>
        </w:rPr>
        <w:t>. «</w:t>
      </w:r>
      <w:r w:rsidR="005A51A0">
        <w:rPr>
          <w:rFonts w:ascii="Arial" w:hAnsi="Arial" w:cs="Arial"/>
        </w:rPr>
        <w:t xml:space="preserve">Descripción sucinta de la zona </w:t>
      </w:r>
      <w:r w:rsidR="001A040B">
        <w:rPr>
          <w:rFonts w:ascii="Arial" w:hAnsi="Arial" w:cs="Arial"/>
        </w:rPr>
        <w:t>geográfica</w:t>
      </w:r>
      <w:r w:rsidR="001A040B" w:rsidRPr="0040055E">
        <w:rPr>
          <w:rFonts w:ascii="Arial" w:hAnsi="Arial" w:cs="Arial"/>
        </w:rPr>
        <w:t>» del</w:t>
      </w:r>
      <w:r w:rsidRPr="0040055E">
        <w:rPr>
          <w:rFonts w:ascii="Arial" w:hAnsi="Arial" w:cs="Arial"/>
        </w:rPr>
        <w:t xml:space="preserve"> documento único.</w:t>
      </w:r>
      <w:r w:rsidR="005A51A0">
        <w:rPr>
          <w:rFonts w:ascii="Arial" w:hAnsi="Arial" w:cs="Arial"/>
        </w:rPr>
        <w:t xml:space="preserve"> </w:t>
      </w:r>
    </w:p>
    <w:p w14:paraId="12D87667" w14:textId="7087111A" w:rsidR="00617B8C" w:rsidRPr="00617B8C" w:rsidRDefault="00617B8C" w:rsidP="00617B8C">
      <w:pPr>
        <w:pStyle w:val="NormalWeb"/>
        <w:jc w:val="both"/>
        <w:rPr>
          <w:rFonts w:ascii="Arial" w:eastAsiaTheme="minorHAnsi" w:hAnsi="Arial" w:cs="Arial"/>
          <w:sz w:val="22"/>
          <w:szCs w:val="22"/>
          <w:lang w:eastAsia="en-US"/>
        </w:rPr>
      </w:pPr>
      <w:r w:rsidRPr="00617B8C">
        <w:rPr>
          <w:rFonts w:ascii="Arial" w:eastAsiaTheme="minorHAnsi" w:hAnsi="Arial" w:cs="Arial"/>
          <w:sz w:val="22"/>
          <w:szCs w:val="22"/>
          <w:lang w:eastAsia="en-US"/>
        </w:rPr>
        <w:t>Se propone la ampliación de la zona de producción a la totalidad de los municipios de la Región de Murcia. Esta modificación responde a la situación derivada de la equiparación automática de la zona de elaboración a la zona de producción en la modificación de 2021, aprobada en 2023, la cual dejó fuera a determinadas industrias elaboradoras que previamente estaban incluidas dentro de la zona de elaboración y envasado. Asimismo, la ampliación permitirá la incorporación de potenciales nuevas industrias elaboradoras dentro del ámbito de la Denominación de Origen</w:t>
      </w:r>
      <w:r>
        <w:rPr>
          <w:rFonts w:ascii="Arial" w:eastAsiaTheme="minorHAnsi" w:hAnsi="Arial" w:cs="Arial"/>
          <w:sz w:val="22"/>
          <w:szCs w:val="22"/>
          <w:lang w:eastAsia="en-US"/>
        </w:rPr>
        <w:t xml:space="preserve"> “Pimentón de Murcia”</w:t>
      </w:r>
      <w:r w:rsidRPr="00617B8C">
        <w:rPr>
          <w:rFonts w:ascii="Arial" w:eastAsiaTheme="minorHAnsi" w:hAnsi="Arial" w:cs="Arial"/>
          <w:sz w:val="22"/>
          <w:szCs w:val="22"/>
          <w:lang w:eastAsia="en-US"/>
        </w:rPr>
        <w:t>.</w:t>
      </w:r>
    </w:p>
    <w:p w14:paraId="0D2D5ED8" w14:textId="77777777" w:rsidR="008454E3" w:rsidRDefault="008454E3" w:rsidP="0040055E">
      <w:pPr>
        <w:jc w:val="both"/>
        <w:rPr>
          <w:rFonts w:ascii="Arial" w:hAnsi="Arial" w:cs="Arial"/>
          <w:b/>
          <w:lang w:eastAsia="de-DE"/>
        </w:rPr>
      </w:pPr>
      <w:r w:rsidRPr="0040055E">
        <w:rPr>
          <w:rFonts w:ascii="Arial" w:hAnsi="Arial" w:cs="Arial"/>
          <w:b/>
          <w:lang w:eastAsia="de-DE"/>
        </w:rPr>
        <w:t>Justificación:</w:t>
      </w:r>
    </w:p>
    <w:p w14:paraId="312E7320" w14:textId="26143309" w:rsidR="005A51A0" w:rsidRDefault="005A51A0" w:rsidP="0040055E">
      <w:pPr>
        <w:jc w:val="both"/>
        <w:rPr>
          <w:rFonts w:ascii="Arial" w:hAnsi="Arial" w:cs="Arial"/>
        </w:rPr>
      </w:pPr>
      <w:r>
        <w:rPr>
          <w:rFonts w:ascii="Arial" w:hAnsi="Arial" w:cs="Arial"/>
        </w:rPr>
        <w:t xml:space="preserve">Esta modificación obedece a la demanda de operadores inscritos en los registros del órgano de gestión. </w:t>
      </w:r>
    </w:p>
    <w:p w14:paraId="228C4613" w14:textId="0C039A92" w:rsidR="002762C9" w:rsidRPr="002762C9" w:rsidRDefault="002762C9" w:rsidP="002762C9">
      <w:pPr>
        <w:pStyle w:val="NormalWeb"/>
        <w:jc w:val="both"/>
        <w:rPr>
          <w:rFonts w:ascii="Arial" w:eastAsiaTheme="minorHAnsi" w:hAnsi="Arial" w:cs="Arial"/>
          <w:sz w:val="22"/>
          <w:szCs w:val="22"/>
          <w:lang w:eastAsia="en-US"/>
        </w:rPr>
      </w:pPr>
      <w:r w:rsidRPr="002762C9">
        <w:rPr>
          <w:rFonts w:ascii="Arial" w:eastAsiaTheme="minorHAnsi" w:hAnsi="Arial" w:cs="Arial"/>
          <w:sz w:val="22"/>
          <w:szCs w:val="22"/>
          <w:lang w:eastAsia="en-US"/>
        </w:rPr>
        <w:t>La Región de Murcia ha desempeñado un papel fundamental en la evolución y perfeccionamiento de la molienda del pi</w:t>
      </w:r>
      <w:r w:rsidR="00951C4D">
        <w:rPr>
          <w:rFonts w:ascii="Arial" w:eastAsiaTheme="minorHAnsi" w:hAnsi="Arial" w:cs="Arial"/>
          <w:sz w:val="22"/>
          <w:szCs w:val="22"/>
          <w:lang w:eastAsia="en-US"/>
        </w:rPr>
        <w:t>miento</w:t>
      </w:r>
      <w:r w:rsidRPr="002762C9">
        <w:rPr>
          <w:rFonts w:ascii="Arial" w:eastAsiaTheme="minorHAnsi" w:hAnsi="Arial" w:cs="Arial"/>
          <w:sz w:val="22"/>
          <w:szCs w:val="22"/>
          <w:lang w:eastAsia="en-US"/>
        </w:rPr>
        <w:t>. Desde el siglo XVIII, se tiene constancia de molinos especializados en este producto, consolidándose en el siglo XX con el desarrollo del Sistema Alcantud, un sistema patentado y perfeccionado en Murcia. Dicho sistema permitió optimizar la molienda del pim</w:t>
      </w:r>
      <w:r w:rsidR="00951C4D">
        <w:rPr>
          <w:rFonts w:ascii="Arial" w:eastAsiaTheme="minorHAnsi" w:hAnsi="Arial" w:cs="Arial"/>
          <w:sz w:val="22"/>
          <w:szCs w:val="22"/>
          <w:lang w:eastAsia="en-US"/>
        </w:rPr>
        <w:t>iento</w:t>
      </w:r>
      <w:r w:rsidRPr="002762C9">
        <w:rPr>
          <w:rFonts w:ascii="Arial" w:eastAsiaTheme="minorHAnsi" w:hAnsi="Arial" w:cs="Arial"/>
          <w:sz w:val="22"/>
          <w:szCs w:val="22"/>
          <w:lang w:eastAsia="en-US"/>
        </w:rPr>
        <w:t>, asegurando una calidad uniforme y convirtiéndose en el método de referencia a nivel nacional e internacional.</w:t>
      </w:r>
    </w:p>
    <w:p w14:paraId="6FF6A221" w14:textId="77777777" w:rsidR="002762C9" w:rsidRDefault="002762C9" w:rsidP="0040055E">
      <w:pPr>
        <w:jc w:val="both"/>
        <w:rPr>
          <w:rFonts w:ascii="Arial" w:hAnsi="Arial" w:cs="Arial"/>
          <w:lang w:eastAsia="de-DE"/>
        </w:rPr>
      </w:pPr>
    </w:p>
    <w:p w14:paraId="15A37060" w14:textId="5D4E54B6" w:rsidR="002762C9" w:rsidRPr="002762C9" w:rsidRDefault="002762C9" w:rsidP="002762C9">
      <w:pPr>
        <w:pStyle w:val="NormalWeb"/>
        <w:jc w:val="both"/>
        <w:rPr>
          <w:rFonts w:ascii="Arial" w:eastAsiaTheme="minorHAnsi" w:hAnsi="Arial" w:cs="Arial"/>
          <w:sz w:val="22"/>
          <w:szCs w:val="22"/>
          <w:lang w:eastAsia="en-US"/>
        </w:rPr>
      </w:pPr>
      <w:r w:rsidRPr="002762C9">
        <w:rPr>
          <w:rFonts w:ascii="Arial" w:eastAsiaTheme="minorHAnsi" w:hAnsi="Arial" w:cs="Arial"/>
          <w:sz w:val="22"/>
          <w:szCs w:val="22"/>
          <w:lang w:eastAsia="en-US"/>
        </w:rPr>
        <w:lastRenderedPageBreak/>
        <w:t xml:space="preserve">El proceso de elaboración del Pimentón de Murcia </w:t>
      </w:r>
      <w:r w:rsidR="001A040B">
        <w:rPr>
          <w:rFonts w:ascii="Arial" w:eastAsiaTheme="minorHAnsi" w:hAnsi="Arial" w:cs="Arial"/>
          <w:sz w:val="22"/>
          <w:szCs w:val="22"/>
          <w:lang w:eastAsia="en-US"/>
        </w:rPr>
        <w:t xml:space="preserve">DOP </w:t>
      </w:r>
      <w:r w:rsidRPr="002762C9">
        <w:rPr>
          <w:rFonts w:ascii="Arial" w:eastAsiaTheme="minorHAnsi" w:hAnsi="Arial" w:cs="Arial"/>
          <w:sz w:val="22"/>
          <w:szCs w:val="22"/>
          <w:lang w:eastAsia="en-US"/>
        </w:rPr>
        <w:t>se distingue</w:t>
      </w:r>
      <w:r>
        <w:rPr>
          <w:rFonts w:ascii="Arial" w:eastAsiaTheme="minorHAnsi" w:hAnsi="Arial" w:cs="Arial"/>
          <w:sz w:val="22"/>
          <w:szCs w:val="22"/>
          <w:lang w:eastAsia="en-US"/>
        </w:rPr>
        <w:t>, además de</w:t>
      </w:r>
      <w:r w:rsidRPr="002762C9">
        <w:rPr>
          <w:rFonts w:ascii="Arial" w:eastAsiaTheme="minorHAnsi" w:hAnsi="Arial" w:cs="Arial"/>
          <w:sz w:val="22"/>
          <w:szCs w:val="22"/>
          <w:lang w:eastAsia="en-US"/>
        </w:rPr>
        <w:t xml:space="preserve"> por la importancia del sistema de molienda</w:t>
      </w:r>
      <w:r>
        <w:rPr>
          <w:rFonts w:ascii="Arial" w:eastAsiaTheme="minorHAnsi" w:hAnsi="Arial" w:cs="Arial"/>
          <w:sz w:val="22"/>
          <w:szCs w:val="22"/>
          <w:lang w:eastAsia="en-US"/>
        </w:rPr>
        <w:t>,</w:t>
      </w:r>
      <w:r w:rsidRPr="002762C9">
        <w:rPr>
          <w:rFonts w:ascii="Arial" w:eastAsiaTheme="minorHAnsi" w:hAnsi="Arial" w:cs="Arial"/>
          <w:sz w:val="22"/>
          <w:szCs w:val="22"/>
          <w:lang w:eastAsia="en-US"/>
        </w:rPr>
        <w:t xml:space="preserve"> </w:t>
      </w:r>
      <w:r>
        <w:rPr>
          <w:rFonts w:ascii="Arial" w:eastAsiaTheme="minorHAnsi" w:hAnsi="Arial" w:cs="Arial"/>
          <w:sz w:val="22"/>
          <w:szCs w:val="22"/>
          <w:lang w:eastAsia="en-US"/>
        </w:rPr>
        <w:t>por</w:t>
      </w:r>
      <w:r w:rsidRPr="002762C9">
        <w:rPr>
          <w:rFonts w:ascii="Arial" w:eastAsiaTheme="minorHAnsi" w:hAnsi="Arial" w:cs="Arial"/>
          <w:sz w:val="22"/>
          <w:szCs w:val="22"/>
          <w:lang w:eastAsia="en-US"/>
        </w:rPr>
        <w:t xml:space="preserve"> el papel fundamental del Maestro Molinero</w:t>
      </w:r>
      <w:r>
        <w:rPr>
          <w:rFonts w:ascii="Arial" w:eastAsiaTheme="minorHAnsi" w:hAnsi="Arial" w:cs="Arial"/>
          <w:sz w:val="22"/>
          <w:szCs w:val="22"/>
          <w:lang w:eastAsia="en-US"/>
        </w:rPr>
        <w:t>.</w:t>
      </w:r>
      <w:r w:rsidRPr="002762C9">
        <w:rPr>
          <w:rFonts w:ascii="Arial" w:eastAsiaTheme="minorHAnsi" w:hAnsi="Arial" w:cs="Arial"/>
          <w:sz w:val="22"/>
          <w:szCs w:val="22"/>
          <w:lang w:eastAsia="en-US"/>
        </w:rPr>
        <w:t xml:space="preserve"> El Maestro Molinero </w:t>
      </w:r>
      <w:r w:rsidR="00C21CDB">
        <w:rPr>
          <w:rFonts w:ascii="Arial" w:eastAsiaTheme="minorHAnsi" w:hAnsi="Arial" w:cs="Arial"/>
          <w:sz w:val="22"/>
          <w:szCs w:val="22"/>
          <w:lang w:eastAsia="en-US"/>
        </w:rPr>
        <w:t>es</w:t>
      </w:r>
      <w:r w:rsidRPr="002762C9">
        <w:rPr>
          <w:rFonts w:ascii="Arial" w:eastAsiaTheme="minorHAnsi" w:hAnsi="Arial" w:cs="Arial"/>
          <w:sz w:val="22"/>
          <w:szCs w:val="22"/>
          <w:lang w:eastAsia="en-US"/>
        </w:rPr>
        <w:t xml:space="preserve"> esencial en </w:t>
      </w:r>
      <w:r w:rsidR="00A60BFB">
        <w:rPr>
          <w:rFonts w:ascii="Arial" w:eastAsiaTheme="minorHAnsi" w:hAnsi="Arial" w:cs="Arial"/>
          <w:sz w:val="22"/>
          <w:szCs w:val="22"/>
          <w:lang w:eastAsia="en-US"/>
        </w:rPr>
        <w:t xml:space="preserve">el proceso de elaboración del </w:t>
      </w:r>
      <w:r w:rsidR="00C21CDB">
        <w:rPr>
          <w:rFonts w:ascii="Arial" w:eastAsiaTheme="minorHAnsi" w:hAnsi="Arial" w:cs="Arial"/>
          <w:sz w:val="22"/>
          <w:szCs w:val="22"/>
          <w:lang w:eastAsia="en-US"/>
        </w:rPr>
        <w:t>pimentón</w:t>
      </w:r>
      <w:r w:rsidR="00A60BFB">
        <w:rPr>
          <w:rFonts w:ascii="Arial" w:eastAsiaTheme="minorHAnsi" w:hAnsi="Arial" w:cs="Arial"/>
          <w:sz w:val="22"/>
          <w:szCs w:val="22"/>
          <w:lang w:eastAsia="en-US"/>
        </w:rPr>
        <w:t>,</w:t>
      </w:r>
      <w:r w:rsidRPr="002762C9">
        <w:rPr>
          <w:rFonts w:ascii="Arial" w:eastAsiaTheme="minorHAnsi" w:hAnsi="Arial" w:cs="Arial"/>
          <w:sz w:val="22"/>
          <w:szCs w:val="22"/>
          <w:lang w:eastAsia="en-US"/>
        </w:rPr>
        <w:t xml:space="preserve"> supervisando cada etapa de la molturación para garantizar un producto final con las propiedades</w:t>
      </w:r>
      <w:r>
        <w:rPr>
          <w:rFonts w:ascii="Arial" w:eastAsiaTheme="minorHAnsi" w:hAnsi="Arial" w:cs="Arial"/>
          <w:sz w:val="22"/>
          <w:szCs w:val="22"/>
          <w:lang w:eastAsia="en-US"/>
        </w:rPr>
        <w:t xml:space="preserve"> </w:t>
      </w:r>
      <w:r w:rsidRPr="002762C9">
        <w:rPr>
          <w:rFonts w:ascii="Arial" w:eastAsiaTheme="minorHAnsi" w:hAnsi="Arial" w:cs="Arial"/>
          <w:sz w:val="22"/>
          <w:szCs w:val="22"/>
          <w:lang w:eastAsia="en-US"/>
        </w:rPr>
        <w:t>adecuadas. Su conocimiento en la regulación de la presión de los molinos de piedra, la velocidad de molienda y el caudal de producto es crucial para mantener la calidad del pimentón. Este saber hacer, junto con la innovación tecnológica aplicada en la Región de Murcia, como el desarrollo del Sistema Alcantud en la década de 1950, refuerza la diferenciación de este proceso respecto a otras zonas productoras de España.</w:t>
      </w:r>
    </w:p>
    <w:p w14:paraId="3A1AC022" w14:textId="4B8B3248" w:rsidR="002762C9" w:rsidRDefault="002762C9" w:rsidP="002762C9">
      <w:pPr>
        <w:pStyle w:val="NormalWeb"/>
        <w:jc w:val="both"/>
        <w:rPr>
          <w:rFonts w:ascii="Arial" w:eastAsiaTheme="minorHAnsi" w:hAnsi="Arial" w:cs="Arial"/>
          <w:sz w:val="22"/>
          <w:szCs w:val="22"/>
          <w:lang w:eastAsia="en-US"/>
        </w:rPr>
      </w:pPr>
      <w:r w:rsidRPr="002762C9">
        <w:rPr>
          <w:rFonts w:ascii="Arial" w:eastAsiaTheme="minorHAnsi" w:hAnsi="Arial" w:cs="Arial"/>
          <w:sz w:val="22"/>
          <w:szCs w:val="22"/>
          <w:lang w:eastAsia="en-US"/>
        </w:rPr>
        <w:t>La ampliación de la zona de producción</w:t>
      </w:r>
      <w:r w:rsidR="00CA08C1">
        <w:rPr>
          <w:rFonts w:ascii="Arial" w:eastAsiaTheme="minorHAnsi" w:hAnsi="Arial" w:cs="Arial"/>
          <w:sz w:val="22"/>
          <w:szCs w:val="22"/>
          <w:lang w:eastAsia="en-US"/>
        </w:rPr>
        <w:t>, y en consecuencia de la zona de elaboración,</w:t>
      </w:r>
      <w:r w:rsidRPr="002762C9">
        <w:rPr>
          <w:rFonts w:ascii="Arial" w:eastAsiaTheme="minorHAnsi" w:hAnsi="Arial" w:cs="Arial"/>
          <w:sz w:val="22"/>
          <w:szCs w:val="22"/>
          <w:lang w:eastAsia="en-US"/>
        </w:rPr>
        <w:t xml:space="preserve"> a toda la Región de Murcia garantiza la continuidad de este modelo </w:t>
      </w:r>
      <w:r w:rsidR="001A040B">
        <w:rPr>
          <w:rFonts w:ascii="Arial" w:eastAsiaTheme="minorHAnsi" w:hAnsi="Arial" w:cs="Arial"/>
          <w:sz w:val="22"/>
          <w:szCs w:val="22"/>
          <w:lang w:eastAsia="en-US"/>
        </w:rPr>
        <w:t>de producción</w:t>
      </w:r>
      <w:r w:rsidR="00CA08C1">
        <w:rPr>
          <w:rFonts w:ascii="Arial" w:eastAsiaTheme="minorHAnsi" w:hAnsi="Arial" w:cs="Arial"/>
          <w:sz w:val="22"/>
          <w:szCs w:val="22"/>
          <w:lang w:eastAsia="en-US"/>
        </w:rPr>
        <w:t xml:space="preserve"> de pimentón</w:t>
      </w:r>
      <w:r w:rsidRPr="002762C9">
        <w:rPr>
          <w:rFonts w:ascii="Arial" w:eastAsiaTheme="minorHAnsi" w:hAnsi="Arial" w:cs="Arial"/>
          <w:sz w:val="22"/>
          <w:szCs w:val="22"/>
          <w:lang w:eastAsia="en-US"/>
        </w:rPr>
        <w:t xml:space="preserve">, asegurando que industrias tradicionales y potenciales nuevas industrias puedan operar dentro del </w:t>
      </w:r>
      <w:r w:rsidR="001A040B">
        <w:rPr>
          <w:rFonts w:ascii="Arial" w:eastAsiaTheme="minorHAnsi" w:hAnsi="Arial" w:cs="Arial"/>
          <w:sz w:val="22"/>
          <w:szCs w:val="22"/>
          <w:lang w:eastAsia="en-US"/>
        </w:rPr>
        <w:t>ámbito</w:t>
      </w:r>
      <w:r w:rsidRPr="002762C9">
        <w:rPr>
          <w:rFonts w:ascii="Arial" w:eastAsiaTheme="minorHAnsi" w:hAnsi="Arial" w:cs="Arial"/>
          <w:sz w:val="22"/>
          <w:szCs w:val="22"/>
          <w:lang w:eastAsia="en-US"/>
        </w:rPr>
        <w:t xml:space="preserve"> de la Denominación de Origen.</w:t>
      </w:r>
    </w:p>
    <w:p w14:paraId="3FBA7B7B" w14:textId="2AE4EB12" w:rsidR="00AE0397" w:rsidRPr="00AE0397" w:rsidRDefault="00AE0397" w:rsidP="00AE0397">
      <w:pPr>
        <w:spacing w:before="100" w:beforeAutospacing="1" w:after="100" w:afterAutospacing="1" w:line="240" w:lineRule="auto"/>
        <w:jc w:val="both"/>
        <w:rPr>
          <w:rFonts w:ascii="Arial" w:hAnsi="Arial" w:cs="Arial"/>
        </w:rPr>
      </w:pPr>
      <w:r w:rsidRPr="00AE0397">
        <w:rPr>
          <w:rFonts w:ascii="Arial" w:hAnsi="Arial" w:cs="Arial"/>
        </w:rPr>
        <w:t>El proceso de producción</w:t>
      </w:r>
      <w:r>
        <w:rPr>
          <w:rFonts w:ascii="Arial" w:hAnsi="Arial" w:cs="Arial"/>
        </w:rPr>
        <w:t xml:space="preserve"> del pimentón de Murcia DOP</w:t>
      </w:r>
      <w:r w:rsidRPr="00AE0397">
        <w:rPr>
          <w:rFonts w:ascii="Arial" w:hAnsi="Arial" w:cs="Arial"/>
        </w:rPr>
        <w:t xml:space="preserve"> sigue una serie de etapas clave que aseguran la calidad y homogeneidad del producto final:</w:t>
      </w:r>
    </w:p>
    <w:p w14:paraId="701FE89C" w14:textId="77777777" w:rsidR="00AE0397" w:rsidRPr="00AE0397" w:rsidRDefault="00AE0397" w:rsidP="00AE0397">
      <w:pPr>
        <w:numPr>
          <w:ilvl w:val="0"/>
          <w:numId w:val="23"/>
        </w:numPr>
        <w:spacing w:before="100" w:beforeAutospacing="1" w:after="100" w:afterAutospacing="1" w:line="240" w:lineRule="auto"/>
        <w:ind w:left="714" w:hanging="357"/>
        <w:jc w:val="both"/>
        <w:rPr>
          <w:rFonts w:ascii="Arial" w:hAnsi="Arial" w:cs="Arial"/>
        </w:rPr>
      </w:pPr>
      <w:r w:rsidRPr="00AE0397">
        <w:rPr>
          <w:rFonts w:ascii="Arial" w:hAnsi="Arial" w:cs="Arial"/>
          <w:b/>
          <w:bCs/>
        </w:rPr>
        <w:t>Recepción</w:t>
      </w:r>
      <w:r w:rsidRPr="00AE0397">
        <w:rPr>
          <w:rFonts w:ascii="Arial" w:hAnsi="Arial" w:cs="Arial"/>
        </w:rPr>
        <w:t>: Se controla cada partida para catalogar al proveedor y clasificar el pimiento según calidades.</w:t>
      </w:r>
    </w:p>
    <w:p w14:paraId="132B9B17" w14:textId="77777777" w:rsidR="00AE0397" w:rsidRPr="00AE0397" w:rsidRDefault="00AE0397" w:rsidP="00AE0397">
      <w:pPr>
        <w:numPr>
          <w:ilvl w:val="0"/>
          <w:numId w:val="23"/>
        </w:numPr>
        <w:spacing w:before="120" w:after="120" w:line="240" w:lineRule="auto"/>
        <w:ind w:left="714" w:hanging="357"/>
        <w:jc w:val="both"/>
        <w:rPr>
          <w:rFonts w:ascii="Arial" w:hAnsi="Arial" w:cs="Arial"/>
        </w:rPr>
      </w:pPr>
      <w:r w:rsidRPr="00AE0397">
        <w:rPr>
          <w:rFonts w:ascii="Arial" w:hAnsi="Arial" w:cs="Arial"/>
          <w:b/>
          <w:bCs/>
        </w:rPr>
        <w:t>Rompedor</w:t>
      </w:r>
      <w:r w:rsidRPr="00AE0397">
        <w:rPr>
          <w:rFonts w:ascii="Arial" w:hAnsi="Arial" w:cs="Arial"/>
        </w:rPr>
        <w:t>: Se realiza una primera rotura gruesa con cuchillas para preparar el producto para su fabricación.</w:t>
      </w:r>
    </w:p>
    <w:p w14:paraId="0AE982EC" w14:textId="77777777" w:rsidR="00AE0397" w:rsidRPr="00AE0397" w:rsidRDefault="00AE0397" w:rsidP="00AE0397">
      <w:pPr>
        <w:numPr>
          <w:ilvl w:val="0"/>
          <w:numId w:val="23"/>
        </w:numPr>
        <w:spacing w:before="100" w:beforeAutospacing="1" w:after="100" w:afterAutospacing="1" w:line="240" w:lineRule="auto"/>
        <w:ind w:left="714" w:hanging="357"/>
        <w:jc w:val="both"/>
        <w:rPr>
          <w:rFonts w:ascii="Arial" w:hAnsi="Arial" w:cs="Arial"/>
        </w:rPr>
      </w:pPr>
      <w:r w:rsidRPr="00AE0397">
        <w:rPr>
          <w:rFonts w:ascii="Arial" w:hAnsi="Arial" w:cs="Arial"/>
          <w:b/>
          <w:bCs/>
        </w:rPr>
        <w:t>Limpieza:</w:t>
      </w:r>
      <w:r w:rsidRPr="00AE0397">
        <w:rPr>
          <w:rFonts w:ascii="Arial" w:hAnsi="Arial" w:cs="Arial"/>
        </w:rPr>
        <w:t xml:space="preserve"> Se elimina polvo, hilos, hojas y otras materias extrañas mediante aire.</w:t>
      </w:r>
    </w:p>
    <w:p w14:paraId="3B5048BD" w14:textId="77777777" w:rsidR="00AE0397" w:rsidRPr="00AE0397" w:rsidRDefault="00AE0397" w:rsidP="00AE0397">
      <w:pPr>
        <w:numPr>
          <w:ilvl w:val="0"/>
          <w:numId w:val="23"/>
        </w:numPr>
        <w:spacing w:before="120" w:after="120" w:line="240" w:lineRule="auto"/>
        <w:ind w:left="714" w:hanging="357"/>
        <w:jc w:val="both"/>
        <w:rPr>
          <w:rFonts w:ascii="Arial" w:hAnsi="Arial" w:cs="Arial"/>
        </w:rPr>
      </w:pPr>
      <w:r w:rsidRPr="00AE0397">
        <w:rPr>
          <w:rFonts w:ascii="Arial" w:hAnsi="Arial" w:cs="Arial"/>
          <w:b/>
          <w:bCs/>
        </w:rPr>
        <w:t>Triturado:</w:t>
      </w:r>
      <w:r w:rsidRPr="00AE0397">
        <w:rPr>
          <w:rFonts w:ascii="Arial" w:hAnsi="Arial" w:cs="Arial"/>
        </w:rPr>
        <w:t xml:space="preserve"> Un triturador de martillos rompe la cáscara a un calibre aproximado de 8 mm, facilitando su paso a los molinos.</w:t>
      </w:r>
    </w:p>
    <w:p w14:paraId="12034C8F" w14:textId="3EDC66EA" w:rsidR="00AE0397" w:rsidRPr="00AE0397" w:rsidRDefault="00AE0397" w:rsidP="00AE0397">
      <w:pPr>
        <w:numPr>
          <w:ilvl w:val="0"/>
          <w:numId w:val="23"/>
        </w:numPr>
        <w:spacing w:before="100" w:beforeAutospacing="1" w:after="100" w:afterAutospacing="1" w:line="240" w:lineRule="auto"/>
        <w:ind w:left="714" w:hanging="357"/>
        <w:jc w:val="both"/>
        <w:rPr>
          <w:rFonts w:ascii="Arial" w:hAnsi="Arial" w:cs="Arial"/>
        </w:rPr>
      </w:pPr>
      <w:r w:rsidRPr="00AE0397">
        <w:rPr>
          <w:rFonts w:ascii="Arial" w:hAnsi="Arial" w:cs="Arial"/>
          <w:b/>
          <w:bCs/>
        </w:rPr>
        <w:t>Molienda:</w:t>
      </w:r>
      <w:r w:rsidRPr="00AE0397">
        <w:rPr>
          <w:rFonts w:ascii="Arial" w:hAnsi="Arial" w:cs="Arial"/>
        </w:rPr>
        <w:t xml:space="preserve"> Se emplean líneas de molinos de piedra con el Sistema Alcantud, donde el producto se reduce de tamaño en varias pasadas según el criterio del Maestro Molinero y del responsable de calidad, quienes comparan visualmente cada lote con el anterior para asegurar la uniformidad. El control de la molienda se realiza con un amperímetro, ajustando la potencia en cada pasada. Además, el Maestro Molinero evalúa el ruido de las piedras para ajustar la alimentación de los molinos. Las piedras de los molinos se pican manualmente con disco y bujarda para mantener su eficacia.</w:t>
      </w:r>
    </w:p>
    <w:p w14:paraId="239CD1E2" w14:textId="77777777" w:rsidR="00AE0397" w:rsidRPr="00AE0397" w:rsidRDefault="00AE0397" w:rsidP="00AE0397">
      <w:pPr>
        <w:numPr>
          <w:ilvl w:val="0"/>
          <w:numId w:val="23"/>
        </w:numPr>
        <w:spacing w:before="120" w:after="120" w:line="240" w:lineRule="auto"/>
        <w:ind w:left="714" w:hanging="357"/>
        <w:jc w:val="both"/>
        <w:rPr>
          <w:rFonts w:ascii="Arial" w:hAnsi="Arial" w:cs="Arial"/>
        </w:rPr>
      </w:pPr>
      <w:r w:rsidRPr="00AE0397">
        <w:rPr>
          <w:rFonts w:ascii="Arial" w:hAnsi="Arial" w:cs="Arial"/>
          <w:b/>
          <w:bCs/>
        </w:rPr>
        <w:t>Transmisión:</w:t>
      </w:r>
      <w:r w:rsidRPr="00AE0397">
        <w:rPr>
          <w:rFonts w:ascii="Arial" w:hAnsi="Arial" w:cs="Arial"/>
        </w:rPr>
        <w:t xml:space="preserve"> Se ajusta en función de la cantidad de aceite añadido, controlando también con amperímetro (40 amperios si lleva poco aceite y 30 si lleva más).</w:t>
      </w:r>
    </w:p>
    <w:p w14:paraId="46A3D390" w14:textId="1D6170F7" w:rsidR="00AE0397" w:rsidRPr="00FD3C0D" w:rsidRDefault="00AE0397" w:rsidP="002762C9">
      <w:pPr>
        <w:numPr>
          <w:ilvl w:val="0"/>
          <w:numId w:val="23"/>
        </w:numPr>
        <w:spacing w:before="100" w:beforeAutospacing="1" w:after="100" w:afterAutospacing="1" w:line="240" w:lineRule="auto"/>
        <w:ind w:left="714" w:hanging="357"/>
        <w:jc w:val="both"/>
        <w:rPr>
          <w:rFonts w:ascii="Arial" w:hAnsi="Arial" w:cs="Arial"/>
        </w:rPr>
      </w:pPr>
      <w:r w:rsidRPr="00AE0397">
        <w:rPr>
          <w:rFonts w:ascii="Arial" w:hAnsi="Arial" w:cs="Arial"/>
          <w:b/>
          <w:bCs/>
        </w:rPr>
        <w:t>Tamizado</w:t>
      </w:r>
      <w:r w:rsidRPr="00AE0397">
        <w:rPr>
          <w:rFonts w:ascii="Arial" w:hAnsi="Arial" w:cs="Arial"/>
        </w:rPr>
        <w:t>: Se realiza un control de temperatura para garantizar la estabilidad del producto final.</w:t>
      </w:r>
    </w:p>
    <w:p w14:paraId="57A6965A" w14:textId="34FBA1B3" w:rsidR="00AE0397" w:rsidRPr="00AE0397" w:rsidRDefault="00AE0397" w:rsidP="00FD3C0D">
      <w:pPr>
        <w:spacing w:before="100" w:beforeAutospacing="1" w:after="100" w:afterAutospacing="1" w:line="240" w:lineRule="auto"/>
        <w:jc w:val="both"/>
        <w:rPr>
          <w:rFonts w:ascii="Arial" w:hAnsi="Arial" w:cs="Arial"/>
        </w:rPr>
      </w:pPr>
      <w:r w:rsidRPr="00AE0397">
        <w:rPr>
          <w:rFonts w:ascii="Arial" w:hAnsi="Arial" w:cs="Arial"/>
        </w:rPr>
        <w:t>Para una mayor fundamentación de la presente modificación, se</w:t>
      </w:r>
      <w:r w:rsidR="00FD3C0D">
        <w:rPr>
          <w:rFonts w:ascii="Arial" w:hAnsi="Arial" w:cs="Arial"/>
        </w:rPr>
        <w:t xml:space="preserve"> añaden junto a la solicitud</w:t>
      </w:r>
      <w:r w:rsidRPr="00AE0397">
        <w:rPr>
          <w:rFonts w:ascii="Arial" w:hAnsi="Arial" w:cs="Arial"/>
        </w:rPr>
        <w:t xml:space="preserve"> los siguientes informes técnicos:</w:t>
      </w:r>
    </w:p>
    <w:p w14:paraId="52F217A1" w14:textId="198F7074" w:rsidR="00AE0397" w:rsidRPr="00AE0397" w:rsidRDefault="00AE0397" w:rsidP="00FD3C0D">
      <w:pPr>
        <w:numPr>
          <w:ilvl w:val="0"/>
          <w:numId w:val="22"/>
        </w:numPr>
        <w:spacing w:before="100" w:beforeAutospacing="1" w:after="100" w:afterAutospacing="1" w:line="240" w:lineRule="auto"/>
        <w:jc w:val="both"/>
        <w:rPr>
          <w:rFonts w:ascii="Arial" w:hAnsi="Arial" w:cs="Arial"/>
        </w:rPr>
      </w:pPr>
      <w:r w:rsidRPr="00AE0397">
        <w:rPr>
          <w:rFonts w:ascii="Arial" w:hAnsi="Arial" w:cs="Arial"/>
        </w:rPr>
        <w:t xml:space="preserve">Sistema de </w:t>
      </w:r>
      <w:r w:rsidR="00AF07F8">
        <w:rPr>
          <w:rFonts w:ascii="Arial" w:hAnsi="Arial" w:cs="Arial"/>
        </w:rPr>
        <w:t>m</w:t>
      </w:r>
      <w:r w:rsidRPr="00AE0397">
        <w:rPr>
          <w:rFonts w:ascii="Arial" w:hAnsi="Arial" w:cs="Arial"/>
        </w:rPr>
        <w:t xml:space="preserve">olienda para la </w:t>
      </w:r>
      <w:r w:rsidR="00AF07F8">
        <w:rPr>
          <w:rFonts w:ascii="Arial" w:hAnsi="Arial" w:cs="Arial"/>
        </w:rPr>
        <w:t>p</w:t>
      </w:r>
      <w:r w:rsidRPr="00AE0397">
        <w:rPr>
          <w:rFonts w:ascii="Arial" w:hAnsi="Arial" w:cs="Arial"/>
        </w:rPr>
        <w:t xml:space="preserve">roducción de </w:t>
      </w:r>
      <w:r w:rsidR="00AF07F8">
        <w:rPr>
          <w:rFonts w:ascii="Arial" w:hAnsi="Arial" w:cs="Arial"/>
        </w:rPr>
        <w:t>p</w:t>
      </w:r>
      <w:r w:rsidRPr="00AE0397">
        <w:rPr>
          <w:rFonts w:ascii="Arial" w:hAnsi="Arial" w:cs="Arial"/>
        </w:rPr>
        <w:t>imentón con Denominación de Origen. En este documento se detalla el proceso de molienda tradicional y el papel fundamental del Maestro Molinero.</w:t>
      </w:r>
    </w:p>
    <w:p w14:paraId="1778C0FE" w14:textId="6E512FFE" w:rsidR="00AE0397" w:rsidRPr="00AE0397" w:rsidRDefault="00AE0397" w:rsidP="00FD3C0D">
      <w:pPr>
        <w:numPr>
          <w:ilvl w:val="0"/>
          <w:numId w:val="22"/>
        </w:numPr>
        <w:spacing w:before="100" w:beforeAutospacing="1" w:after="100" w:afterAutospacing="1" w:line="240" w:lineRule="auto"/>
        <w:jc w:val="both"/>
        <w:rPr>
          <w:rFonts w:ascii="Arial" w:hAnsi="Arial" w:cs="Arial"/>
        </w:rPr>
      </w:pPr>
      <w:r w:rsidRPr="00AE0397">
        <w:rPr>
          <w:rFonts w:ascii="Arial" w:hAnsi="Arial" w:cs="Arial"/>
        </w:rPr>
        <w:t>Desarrollo y evolución de la industria pimentonera. Se describe la evolución histórica de la industria del pimentón en la Región de Murcia, destacando la implantación del Sistema Alcantud y la importancia del conocimiento experto en el proceso de molturación.</w:t>
      </w:r>
    </w:p>
    <w:p w14:paraId="4F8CD611" w14:textId="70EA8F9F" w:rsidR="005B3CF4" w:rsidRPr="005B3CF4" w:rsidRDefault="005B3CF4" w:rsidP="005B3CF4">
      <w:pPr>
        <w:jc w:val="both"/>
        <w:rPr>
          <w:rFonts w:ascii="Arial" w:hAnsi="Arial" w:cs="Arial"/>
        </w:rPr>
      </w:pPr>
    </w:p>
    <w:sectPr w:rsidR="005B3CF4" w:rsidRPr="005B3CF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80FE2"/>
    <w:multiLevelType w:val="hybridMultilevel"/>
    <w:tmpl w:val="EB4444C8"/>
    <w:lvl w:ilvl="0" w:tplc="61241BA6">
      <w:start w:val="3"/>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FC3DC5"/>
    <w:multiLevelType w:val="hybridMultilevel"/>
    <w:tmpl w:val="BA1697B0"/>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676BF8"/>
    <w:multiLevelType w:val="hybridMultilevel"/>
    <w:tmpl w:val="AA4CA3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AA158F"/>
    <w:multiLevelType w:val="hybridMultilevel"/>
    <w:tmpl w:val="1F102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F0033A"/>
    <w:multiLevelType w:val="hybridMultilevel"/>
    <w:tmpl w:val="03FAD5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9A59C1"/>
    <w:multiLevelType w:val="hybridMultilevel"/>
    <w:tmpl w:val="37C03EF4"/>
    <w:lvl w:ilvl="0" w:tplc="61241BA6">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B0548F"/>
    <w:multiLevelType w:val="multilevel"/>
    <w:tmpl w:val="6876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E226A"/>
    <w:multiLevelType w:val="hybridMultilevel"/>
    <w:tmpl w:val="E10ACF80"/>
    <w:lvl w:ilvl="0" w:tplc="61241BA6">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F930D6A"/>
    <w:multiLevelType w:val="multilevel"/>
    <w:tmpl w:val="941ED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CB74B4"/>
    <w:multiLevelType w:val="multilevel"/>
    <w:tmpl w:val="8FFADDA4"/>
    <w:name w:val="Heading"/>
    <w:lvl w:ilvl="0">
      <w:start w:val="1"/>
      <w:numFmt w:val="decimal"/>
      <w:lvlRestart w:val="0"/>
      <w:pStyle w:val="Ttulo1"/>
      <w:lvlText w:val="%1."/>
      <w:lvlJc w:val="left"/>
      <w:pPr>
        <w:tabs>
          <w:tab w:val="num" w:pos="850"/>
        </w:tabs>
        <w:ind w:left="850" w:hanging="850"/>
      </w:pPr>
      <w:rPr>
        <w:rFonts w:cs="Times New Roman"/>
      </w:rPr>
    </w:lvl>
    <w:lvl w:ilvl="1">
      <w:start w:val="1"/>
      <w:numFmt w:val="decimal"/>
      <w:pStyle w:val="Ttulo2"/>
      <w:lvlText w:val="%1.%2."/>
      <w:lvlJc w:val="left"/>
      <w:pPr>
        <w:tabs>
          <w:tab w:val="num" w:pos="850"/>
        </w:tabs>
        <w:ind w:left="850" w:hanging="850"/>
      </w:pPr>
      <w:rPr>
        <w:rFonts w:cs="Times New Roman"/>
      </w:rPr>
    </w:lvl>
    <w:lvl w:ilvl="2">
      <w:start w:val="1"/>
      <w:numFmt w:val="decimal"/>
      <w:pStyle w:val="Ttulo3"/>
      <w:lvlText w:val="%1.%2.%3."/>
      <w:lvlJc w:val="left"/>
      <w:pPr>
        <w:tabs>
          <w:tab w:val="num" w:pos="850"/>
        </w:tabs>
        <w:ind w:left="850" w:hanging="850"/>
      </w:pPr>
      <w:rPr>
        <w:rFonts w:cs="Times New Roman"/>
        <w:i w:val="0"/>
      </w:rPr>
    </w:lvl>
    <w:lvl w:ilvl="3">
      <w:start w:val="1"/>
      <w:numFmt w:val="decimal"/>
      <w:pStyle w:val="Ttulo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578D0224"/>
    <w:multiLevelType w:val="hybridMultilevel"/>
    <w:tmpl w:val="BB565A24"/>
    <w:lvl w:ilvl="0" w:tplc="61241BA6">
      <w:start w:val="3"/>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D9A2D22"/>
    <w:multiLevelType w:val="hybridMultilevel"/>
    <w:tmpl w:val="78F01A84"/>
    <w:lvl w:ilvl="0" w:tplc="406AB61E">
      <w:start w:val="2"/>
      <w:numFmt w:val="bullet"/>
      <w:lvlText w:val="-"/>
      <w:lvlJc w:val="left"/>
      <w:pPr>
        <w:tabs>
          <w:tab w:val="num" w:pos="1170"/>
        </w:tabs>
        <w:ind w:left="1170" w:hanging="360"/>
      </w:pPr>
      <w:rPr>
        <w:rFonts w:ascii="Arial" w:eastAsia="Times New Roman" w:hAnsi="Arial" w:cs="Times New Roman" w:hint="default"/>
      </w:rPr>
    </w:lvl>
    <w:lvl w:ilvl="1" w:tplc="0C0A0003">
      <w:start w:val="1"/>
      <w:numFmt w:val="bullet"/>
      <w:lvlText w:val="o"/>
      <w:lvlJc w:val="left"/>
      <w:pPr>
        <w:tabs>
          <w:tab w:val="num" w:pos="1800"/>
        </w:tabs>
        <w:ind w:left="1800" w:hanging="360"/>
      </w:pPr>
      <w:rPr>
        <w:rFonts w:ascii="Courier New" w:hAnsi="Courier New" w:cs="Times New Roman"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Times New Roman"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Times New Roman"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E8722C2"/>
    <w:multiLevelType w:val="hybridMultilevel"/>
    <w:tmpl w:val="2FE4AB5A"/>
    <w:lvl w:ilvl="0" w:tplc="0C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02F4932"/>
    <w:multiLevelType w:val="hybridMultilevel"/>
    <w:tmpl w:val="709C7444"/>
    <w:lvl w:ilvl="0" w:tplc="0C0A0001">
      <w:start w:val="1"/>
      <w:numFmt w:val="bullet"/>
      <w:lvlText w:val=""/>
      <w:lvlJc w:val="left"/>
      <w:pPr>
        <w:ind w:left="720" w:hanging="360"/>
      </w:pPr>
      <w:rPr>
        <w:rFonts w:ascii="Symbol" w:hAnsi="Symbol" w:hint="default"/>
      </w:rPr>
    </w:lvl>
    <w:lvl w:ilvl="1" w:tplc="B554CBCA">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80629902">
    <w:abstractNumId w:val="9"/>
  </w:num>
  <w:num w:numId="2" w16cid:durableId="148717855">
    <w:abstractNumId w:val="9"/>
  </w:num>
  <w:num w:numId="3" w16cid:durableId="572156927">
    <w:abstractNumId w:val="9"/>
  </w:num>
  <w:num w:numId="4" w16cid:durableId="1689259146">
    <w:abstractNumId w:val="9"/>
  </w:num>
  <w:num w:numId="5" w16cid:durableId="36902849">
    <w:abstractNumId w:val="9"/>
  </w:num>
  <w:num w:numId="6" w16cid:durableId="1730838010">
    <w:abstractNumId w:val="5"/>
  </w:num>
  <w:num w:numId="7" w16cid:durableId="306516986">
    <w:abstractNumId w:val="9"/>
  </w:num>
  <w:num w:numId="8" w16cid:durableId="1314288797">
    <w:abstractNumId w:val="9"/>
  </w:num>
  <w:num w:numId="9" w16cid:durableId="1348286415">
    <w:abstractNumId w:val="9"/>
  </w:num>
  <w:num w:numId="10" w16cid:durableId="1320227517">
    <w:abstractNumId w:val="12"/>
  </w:num>
  <w:num w:numId="11" w16cid:durableId="1558319060">
    <w:abstractNumId w:val="3"/>
  </w:num>
  <w:num w:numId="12" w16cid:durableId="362901225">
    <w:abstractNumId w:val="4"/>
  </w:num>
  <w:num w:numId="13" w16cid:durableId="1272857234">
    <w:abstractNumId w:val="1"/>
  </w:num>
  <w:num w:numId="14" w16cid:durableId="1040319316">
    <w:abstractNumId w:val="13"/>
  </w:num>
  <w:num w:numId="15" w16cid:durableId="861170556">
    <w:abstractNumId w:val="0"/>
  </w:num>
  <w:num w:numId="16" w16cid:durableId="118956951">
    <w:abstractNumId w:val="10"/>
  </w:num>
  <w:num w:numId="17" w16cid:durableId="926040210">
    <w:abstractNumId w:val="2"/>
  </w:num>
  <w:num w:numId="18" w16cid:durableId="702052590">
    <w:abstractNumId w:val="7"/>
  </w:num>
  <w:num w:numId="19" w16cid:durableId="16128794">
    <w:abstractNumId w:val="11"/>
  </w:num>
  <w:num w:numId="20" w16cid:durableId="2145267764">
    <w:abstractNumId w:val="9"/>
  </w:num>
  <w:num w:numId="21" w16cid:durableId="1759710131">
    <w:abstractNumId w:val="9"/>
  </w:num>
  <w:num w:numId="22" w16cid:durableId="2063288591">
    <w:abstractNumId w:val="8"/>
  </w:num>
  <w:num w:numId="23" w16cid:durableId="14586407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9AB"/>
    <w:rsid w:val="000048A3"/>
    <w:rsid w:val="00045AF6"/>
    <w:rsid w:val="00090175"/>
    <w:rsid w:val="000B5B9E"/>
    <w:rsid w:val="00147FE4"/>
    <w:rsid w:val="001A040B"/>
    <w:rsid w:val="002762C9"/>
    <w:rsid w:val="00300D72"/>
    <w:rsid w:val="00327EBC"/>
    <w:rsid w:val="0040055E"/>
    <w:rsid w:val="0046611F"/>
    <w:rsid w:val="004C09AB"/>
    <w:rsid w:val="00500ED2"/>
    <w:rsid w:val="00516B1E"/>
    <w:rsid w:val="005A51A0"/>
    <w:rsid w:val="005B3CF4"/>
    <w:rsid w:val="00617B8C"/>
    <w:rsid w:val="006F3D77"/>
    <w:rsid w:val="007B702C"/>
    <w:rsid w:val="008454E3"/>
    <w:rsid w:val="00951C4D"/>
    <w:rsid w:val="00A52CD7"/>
    <w:rsid w:val="00A60BFB"/>
    <w:rsid w:val="00AE0397"/>
    <w:rsid w:val="00AF07F8"/>
    <w:rsid w:val="00C21CDB"/>
    <w:rsid w:val="00C21F0B"/>
    <w:rsid w:val="00C67A07"/>
    <w:rsid w:val="00CA08C1"/>
    <w:rsid w:val="00CD7ADE"/>
    <w:rsid w:val="00F77507"/>
    <w:rsid w:val="00FD3C0D"/>
    <w:rsid w:val="00FE6B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7A4B1"/>
  <w15:chartTrackingRefBased/>
  <w15:docId w15:val="{4468C07D-C29C-4CB6-9644-5EB6CEDC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1"/>
    <w:link w:val="Ttulo1Car"/>
    <w:qFormat/>
    <w:rsid w:val="00516B1E"/>
    <w:pPr>
      <w:keepNext/>
      <w:numPr>
        <w:numId w:val="1"/>
      </w:numPr>
      <w:spacing w:before="360" w:after="120" w:line="240" w:lineRule="auto"/>
      <w:jc w:val="both"/>
      <w:outlineLvl w:val="0"/>
    </w:pPr>
    <w:rPr>
      <w:rFonts w:ascii="Times New Roman" w:eastAsia="Times New Roman" w:hAnsi="Times New Roman" w:cs="Times New Roman"/>
      <w:b/>
      <w:bCs/>
      <w:smallCaps/>
      <w:sz w:val="24"/>
      <w:szCs w:val="32"/>
      <w:lang w:val="en-GB" w:eastAsia="de-DE"/>
    </w:rPr>
  </w:style>
  <w:style w:type="paragraph" w:styleId="Ttulo2">
    <w:name w:val="heading 2"/>
    <w:basedOn w:val="Normal"/>
    <w:next w:val="Normal"/>
    <w:link w:val="Ttulo2Car"/>
    <w:qFormat/>
    <w:rsid w:val="00516B1E"/>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lang w:val="en-GB" w:eastAsia="de-DE"/>
    </w:rPr>
  </w:style>
  <w:style w:type="paragraph" w:styleId="Ttulo3">
    <w:name w:val="heading 3"/>
    <w:basedOn w:val="Normal"/>
    <w:next w:val="Normal"/>
    <w:link w:val="Ttulo3Car"/>
    <w:qFormat/>
    <w:rsid w:val="00516B1E"/>
    <w:pPr>
      <w:keepNext/>
      <w:numPr>
        <w:ilvl w:val="2"/>
        <w:numId w:val="1"/>
      </w:numPr>
      <w:spacing w:before="120" w:after="120" w:line="240" w:lineRule="auto"/>
      <w:jc w:val="both"/>
      <w:outlineLvl w:val="2"/>
    </w:pPr>
    <w:rPr>
      <w:rFonts w:ascii="Times New Roman" w:eastAsia="Times New Roman" w:hAnsi="Times New Roman" w:cs="Times New Roman"/>
      <w:bCs/>
      <w:i/>
      <w:sz w:val="24"/>
      <w:szCs w:val="26"/>
      <w:lang w:val="en-GB" w:eastAsia="de-DE"/>
    </w:rPr>
  </w:style>
  <w:style w:type="paragraph" w:styleId="Ttulo4">
    <w:name w:val="heading 4"/>
    <w:basedOn w:val="Normal"/>
    <w:next w:val="Normal"/>
    <w:link w:val="Ttulo4Car"/>
    <w:qFormat/>
    <w:rsid w:val="00516B1E"/>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val="en-GB"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16B1E"/>
    <w:rPr>
      <w:rFonts w:ascii="Times New Roman" w:eastAsia="Times New Roman" w:hAnsi="Times New Roman" w:cs="Times New Roman"/>
      <w:b/>
      <w:bCs/>
      <w:smallCaps/>
      <w:sz w:val="24"/>
      <w:szCs w:val="32"/>
      <w:lang w:val="en-GB" w:eastAsia="de-DE"/>
    </w:rPr>
  </w:style>
  <w:style w:type="character" w:customStyle="1" w:styleId="Ttulo2Car">
    <w:name w:val="Título 2 Car"/>
    <w:basedOn w:val="Fuentedeprrafopredeter"/>
    <w:link w:val="Ttulo2"/>
    <w:rsid w:val="00516B1E"/>
    <w:rPr>
      <w:rFonts w:ascii="Times New Roman" w:eastAsia="Times New Roman" w:hAnsi="Times New Roman" w:cs="Times New Roman"/>
      <w:b/>
      <w:bCs/>
      <w:iCs/>
      <w:sz w:val="24"/>
      <w:szCs w:val="28"/>
      <w:lang w:val="en-GB" w:eastAsia="de-DE"/>
    </w:rPr>
  </w:style>
  <w:style w:type="character" w:customStyle="1" w:styleId="Ttulo3Car">
    <w:name w:val="Título 3 Car"/>
    <w:basedOn w:val="Fuentedeprrafopredeter"/>
    <w:link w:val="Ttulo3"/>
    <w:rsid w:val="00516B1E"/>
    <w:rPr>
      <w:rFonts w:ascii="Times New Roman" w:eastAsia="Times New Roman" w:hAnsi="Times New Roman" w:cs="Times New Roman"/>
      <w:bCs/>
      <w:i/>
      <w:sz w:val="24"/>
      <w:szCs w:val="26"/>
      <w:lang w:val="en-GB" w:eastAsia="de-DE"/>
    </w:rPr>
  </w:style>
  <w:style w:type="character" w:customStyle="1" w:styleId="Ttulo4Car">
    <w:name w:val="Título 4 Car"/>
    <w:basedOn w:val="Fuentedeprrafopredeter"/>
    <w:link w:val="Ttulo4"/>
    <w:rsid w:val="00516B1E"/>
    <w:rPr>
      <w:rFonts w:ascii="Times New Roman" w:eastAsia="Times New Roman" w:hAnsi="Times New Roman" w:cs="Times New Roman"/>
      <w:bCs/>
      <w:sz w:val="24"/>
      <w:szCs w:val="28"/>
      <w:lang w:val="en-GB" w:eastAsia="de-DE"/>
    </w:rPr>
  </w:style>
  <w:style w:type="paragraph" w:customStyle="1" w:styleId="Text1">
    <w:name w:val="Text 1"/>
    <w:basedOn w:val="Normal"/>
    <w:rsid w:val="00516B1E"/>
    <w:pPr>
      <w:spacing w:before="120" w:after="120" w:line="240" w:lineRule="auto"/>
      <w:ind w:left="850"/>
      <w:jc w:val="both"/>
    </w:pPr>
    <w:rPr>
      <w:rFonts w:ascii="Times New Roman" w:eastAsia="Times New Roman" w:hAnsi="Times New Roman" w:cs="Times New Roman"/>
      <w:sz w:val="24"/>
      <w:szCs w:val="24"/>
      <w:lang w:val="en-GB" w:eastAsia="de-DE"/>
    </w:rPr>
  </w:style>
  <w:style w:type="paragraph" w:customStyle="1" w:styleId="NormalCentered">
    <w:name w:val="Normal Centered"/>
    <w:basedOn w:val="Normal"/>
    <w:rsid w:val="00516B1E"/>
    <w:pPr>
      <w:spacing w:before="120" w:after="120" w:line="240" w:lineRule="auto"/>
      <w:jc w:val="center"/>
    </w:pPr>
    <w:rPr>
      <w:rFonts w:ascii="Times New Roman" w:eastAsia="Times New Roman" w:hAnsi="Times New Roman" w:cs="Times New Roman"/>
      <w:sz w:val="24"/>
      <w:szCs w:val="24"/>
      <w:lang w:val="en-GB" w:eastAsia="de-DE"/>
    </w:rPr>
  </w:style>
  <w:style w:type="character" w:styleId="Hipervnculo">
    <w:name w:val="Hyperlink"/>
    <w:rsid w:val="00516B1E"/>
    <w:rPr>
      <w:color w:val="0000FF"/>
      <w:u w:val="single"/>
    </w:rPr>
  </w:style>
  <w:style w:type="paragraph" w:styleId="Prrafodelista">
    <w:name w:val="List Paragraph"/>
    <w:basedOn w:val="Normal"/>
    <w:uiPriority w:val="99"/>
    <w:qFormat/>
    <w:rsid w:val="00C67A07"/>
    <w:pPr>
      <w:ind w:left="720"/>
      <w:contextualSpacing/>
    </w:pPr>
  </w:style>
  <w:style w:type="character" w:styleId="Refdecomentario">
    <w:name w:val="annotation reference"/>
    <w:basedOn w:val="Fuentedeprrafopredeter"/>
    <w:uiPriority w:val="99"/>
    <w:semiHidden/>
    <w:unhideWhenUsed/>
    <w:rsid w:val="00045AF6"/>
    <w:rPr>
      <w:sz w:val="16"/>
      <w:szCs w:val="16"/>
    </w:rPr>
  </w:style>
  <w:style w:type="paragraph" w:styleId="Textocomentario">
    <w:name w:val="annotation text"/>
    <w:basedOn w:val="Normal"/>
    <w:link w:val="TextocomentarioCar"/>
    <w:uiPriority w:val="99"/>
    <w:semiHidden/>
    <w:unhideWhenUsed/>
    <w:rsid w:val="00045AF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5AF6"/>
    <w:rPr>
      <w:sz w:val="20"/>
      <w:szCs w:val="20"/>
    </w:rPr>
  </w:style>
  <w:style w:type="paragraph" w:styleId="Asuntodelcomentario">
    <w:name w:val="annotation subject"/>
    <w:basedOn w:val="Textocomentario"/>
    <w:next w:val="Textocomentario"/>
    <w:link w:val="AsuntodelcomentarioCar"/>
    <w:uiPriority w:val="99"/>
    <w:semiHidden/>
    <w:unhideWhenUsed/>
    <w:rsid w:val="00045AF6"/>
    <w:rPr>
      <w:b/>
      <w:bCs/>
    </w:rPr>
  </w:style>
  <w:style w:type="character" w:customStyle="1" w:styleId="AsuntodelcomentarioCar">
    <w:name w:val="Asunto del comentario Car"/>
    <w:basedOn w:val="TextocomentarioCar"/>
    <w:link w:val="Asuntodelcomentario"/>
    <w:uiPriority w:val="99"/>
    <w:semiHidden/>
    <w:rsid w:val="00045AF6"/>
    <w:rPr>
      <w:b/>
      <w:bCs/>
      <w:sz w:val="20"/>
      <w:szCs w:val="20"/>
    </w:rPr>
  </w:style>
  <w:style w:type="paragraph" w:styleId="Revisin">
    <w:name w:val="Revision"/>
    <w:hidden/>
    <w:uiPriority w:val="99"/>
    <w:semiHidden/>
    <w:rsid w:val="00045AF6"/>
    <w:pPr>
      <w:spacing w:after="0" w:line="240" w:lineRule="auto"/>
    </w:pPr>
  </w:style>
  <w:style w:type="paragraph" w:styleId="Textodeglobo">
    <w:name w:val="Balloon Text"/>
    <w:basedOn w:val="Normal"/>
    <w:link w:val="TextodegloboCar"/>
    <w:uiPriority w:val="99"/>
    <w:semiHidden/>
    <w:unhideWhenUsed/>
    <w:rsid w:val="00045A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5AF6"/>
    <w:rPr>
      <w:rFonts w:ascii="Segoe UI" w:hAnsi="Segoe UI" w:cs="Segoe UI"/>
      <w:sz w:val="18"/>
      <w:szCs w:val="18"/>
    </w:rPr>
  </w:style>
  <w:style w:type="paragraph" w:styleId="NormalWeb">
    <w:name w:val="Normal (Web)"/>
    <w:basedOn w:val="Normal"/>
    <w:uiPriority w:val="99"/>
    <w:unhideWhenUsed/>
    <w:rsid w:val="007B70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AE0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55551">
      <w:bodyDiv w:val="1"/>
      <w:marLeft w:val="0"/>
      <w:marRight w:val="0"/>
      <w:marTop w:val="0"/>
      <w:marBottom w:val="0"/>
      <w:divBdr>
        <w:top w:val="none" w:sz="0" w:space="0" w:color="auto"/>
        <w:left w:val="none" w:sz="0" w:space="0" w:color="auto"/>
        <w:bottom w:val="none" w:sz="0" w:space="0" w:color="auto"/>
        <w:right w:val="none" w:sz="0" w:space="0" w:color="auto"/>
      </w:divBdr>
    </w:div>
    <w:div w:id="850484064">
      <w:bodyDiv w:val="1"/>
      <w:marLeft w:val="0"/>
      <w:marRight w:val="0"/>
      <w:marTop w:val="0"/>
      <w:marBottom w:val="0"/>
      <w:divBdr>
        <w:top w:val="none" w:sz="0" w:space="0" w:color="auto"/>
        <w:left w:val="none" w:sz="0" w:space="0" w:color="auto"/>
        <w:bottom w:val="none" w:sz="0" w:space="0" w:color="auto"/>
        <w:right w:val="none" w:sz="0" w:space="0" w:color="auto"/>
      </w:divBdr>
    </w:div>
    <w:div w:id="1087774927">
      <w:bodyDiv w:val="1"/>
      <w:marLeft w:val="0"/>
      <w:marRight w:val="0"/>
      <w:marTop w:val="0"/>
      <w:marBottom w:val="0"/>
      <w:divBdr>
        <w:top w:val="none" w:sz="0" w:space="0" w:color="auto"/>
        <w:left w:val="none" w:sz="0" w:space="0" w:color="auto"/>
        <w:bottom w:val="none" w:sz="0" w:space="0" w:color="auto"/>
        <w:right w:val="none" w:sz="0" w:space="0" w:color="auto"/>
      </w:divBdr>
    </w:div>
    <w:div w:id="1561940643">
      <w:bodyDiv w:val="1"/>
      <w:marLeft w:val="0"/>
      <w:marRight w:val="0"/>
      <w:marTop w:val="0"/>
      <w:marBottom w:val="0"/>
      <w:divBdr>
        <w:top w:val="none" w:sz="0" w:space="0" w:color="auto"/>
        <w:left w:val="none" w:sz="0" w:space="0" w:color="auto"/>
        <w:bottom w:val="none" w:sz="0" w:space="0" w:color="auto"/>
        <w:right w:val="none" w:sz="0" w:space="0" w:color="auto"/>
      </w:divBdr>
    </w:div>
    <w:div w:id="1618949448">
      <w:bodyDiv w:val="1"/>
      <w:marLeft w:val="0"/>
      <w:marRight w:val="0"/>
      <w:marTop w:val="0"/>
      <w:marBottom w:val="0"/>
      <w:divBdr>
        <w:top w:val="none" w:sz="0" w:space="0" w:color="auto"/>
        <w:left w:val="none" w:sz="0" w:space="0" w:color="auto"/>
        <w:bottom w:val="none" w:sz="0" w:space="0" w:color="auto"/>
        <w:right w:val="none" w:sz="0" w:space="0" w:color="auto"/>
      </w:divBdr>
    </w:div>
    <w:div w:id="1696956390">
      <w:bodyDiv w:val="1"/>
      <w:marLeft w:val="0"/>
      <w:marRight w:val="0"/>
      <w:marTop w:val="0"/>
      <w:marBottom w:val="0"/>
      <w:divBdr>
        <w:top w:val="none" w:sz="0" w:space="0" w:color="auto"/>
        <w:left w:val="none" w:sz="0" w:space="0" w:color="auto"/>
        <w:bottom w:val="none" w:sz="0" w:space="0" w:color="auto"/>
        <w:right w:val="none" w:sz="0" w:space="0" w:color="auto"/>
      </w:divBdr>
    </w:div>
    <w:div w:id="1724209197">
      <w:bodyDiv w:val="1"/>
      <w:marLeft w:val="0"/>
      <w:marRight w:val="0"/>
      <w:marTop w:val="0"/>
      <w:marBottom w:val="0"/>
      <w:divBdr>
        <w:top w:val="none" w:sz="0" w:space="0" w:color="auto"/>
        <w:left w:val="none" w:sz="0" w:space="0" w:color="auto"/>
        <w:bottom w:val="none" w:sz="0" w:space="0" w:color="auto"/>
        <w:right w:val="none" w:sz="0" w:space="0" w:color="auto"/>
      </w:divBdr>
    </w:div>
    <w:div w:id="211255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906</Words>
  <Characters>4986</Characters>
  <Application>Microsoft Office Word</Application>
  <DocSecurity>4</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dc:creator>
  <cp:keywords/>
  <dc:description/>
  <cp:lastModifiedBy>De Santos Carretero, Monica</cp:lastModifiedBy>
  <cp:revision>2</cp:revision>
  <dcterms:created xsi:type="dcterms:W3CDTF">2025-03-13T12:12:00Z</dcterms:created>
  <dcterms:modified xsi:type="dcterms:W3CDTF">2025-03-13T12:12:00Z</dcterms:modified>
</cp:coreProperties>
</file>