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D35" w14:textId="77777777" w:rsidR="007A4DD7" w:rsidRPr="007A4DD7" w:rsidRDefault="007A4DD7" w:rsidP="007A4DD7">
      <w:pPr>
        <w:keepNext/>
        <w:spacing w:after="360"/>
        <w:jc w:val="center"/>
        <w:rPr>
          <w:b/>
          <w:sz w:val="28"/>
          <w:szCs w:val="28"/>
          <w:lang w:val="es-ES"/>
        </w:rPr>
      </w:pPr>
      <w:r w:rsidRPr="007A4DD7">
        <w:rPr>
          <w:b/>
          <w:sz w:val="28"/>
          <w:szCs w:val="28"/>
          <w:lang w:val="es-ES"/>
        </w:rPr>
        <w:t>SOLICITUD DE APROBACIÓN DE UNA MODIFICACIÓN NORMAL</w:t>
      </w:r>
    </w:p>
    <w:p w14:paraId="2A4EB31F" w14:textId="77777777" w:rsidR="007A4DD7" w:rsidRPr="007A4DD7" w:rsidRDefault="007A4DD7" w:rsidP="007A4DD7">
      <w:pPr>
        <w:shd w:val="clear" w:color="auto" w:fill="FFFFFF"/>
        <w:spacing w:after="0" w:line="312" w:lineRule="atLeast"/>
        <w:rPr>
          <w:lang w:val="es-ES" w:eastAsia="es-ES"/>
        </w:rPr>
      </w:pPr>
      <w:r w:rsidRPr="007A4DD7">
        <w:rPr>
          <w:lang w:val="es-ES" w:eastAsia="es-ES"/>
        </w:rPr>
        <w:t>Solicitud de aprobación de una modificación normal con arreglo al artículo 53, apartado 2, párrafo segundo, del Reglamento (UE) n</w:t>
      </w:r>
      <w:r w:rsidRPr="007A4DD7">
        <w:rPr>
          <w:vertAlign w:val="superscript"/>
          <w:lang w:val="es-ES" w:eastAsia="es-ES"/>
        </w:rPr>
        <w:t>o</w:t>
      </w:r>
      <w:r w:rsidRPr="007A4DD7">
        <w:rPr>
          <w:lang w:val="es-ES" w:eastAsia="es-ES"/>
        </w:rPr>
        <w:t> 1151/2012</w:t>
      </w:r>
    </w:p>
    <w:p w14:paraId="4AF098FD" w14:textId="77777777" w:rsidR="00A3551F" w:rsidRPr="00A3551F" w:rsidRDefault="00A3551F" w:rsidP="00A3551F">
      <w:pPr>
        <w:pStyle w:val="NormalCentered"/>
        <w:rPr>
          <w:lang w:val="es-ES" w:bidi="es-ES"/>
        </w:rPr>
      </w:pPr>
      <w:r w:rsidRPr="00A3551F">
        <w:rPr>
          <w:lang w:val="es-ES" w:bidi="es-ES"/>
        </w:rPr>
        <w:t>«</w:t>
      </w:r>
      <w:r w:rsidR="00ED7D9D">
        <w:rPr>
          <w:lang w:val="es-ES" w:bidi="es-ES"/>
        </w:rPr>
        <w:t>C</w:t>
      </w:r>
      <w:r w:rsidR="00983E04">
        <w:rPr>
          <w:lang w:val="es-ES" w:bidi="es-ES"/>
        </w:rPr>
        <w:t>arne de Ávila</w:t>
      </w:r>
      <w:r w:rsidRPr="00A3551F">
        <w:rPr>
          <w:lang w:val="es-ES" w:bidi="es-ES"/>
        </w:rPr>
        <w:t>»</w:t>
      </w:r>
    </w:p>
    <w:p w14:paraId="6507C248" w14:textId="77777777" w:rsidR="007F6A3D" w:rsidRPr="00A3551F" w:rsidRDefault="00A3551F" w:rsidP="00A3551F">
      <w:pPr>
        <w:pStyle w:val="NormalCentered"/>
        <w:rPr>
          <w:b/>
          <w:lang w:val="es-ES"/>
        </w:rPr>
      </w:pPr>
      <w:r w:rsidRPr="00A3551F">
        <w:rPr>
          <w:b/>
          <w:lang w:val="es-ES" w:bidi="es-ES"/>
        </w:rPr>
        <w:t>DOP ( )</w:t>
      </w:r>
      <w:r w:rsidRPr="00A3551F">
        <w:rPr>
          <w:b/>
          <w:lang w:val="es-ES" w:bidi="es-ES"/>
        </w:rPr>
        <w:tab/>
        <w:t>IGP (</w:t>
      </w:r>
      <w:r w:rsidR="00ED7D9D">
        <w:rPr>
          <w:b/>
          <w:lang w:val="es-ES" w:bidi="es-ES"/>
        </w:rPr>
        <w:t>X</w:t>
      </w:r>
      <w:r w:rsidRPr="00A3551F">
        <w:rPr>
          <w:b/>
          <w:lang w:val="es-ES" w:bidi="es-ES"/>
        </w:rPr>
        <w:t xml:space="preserve"> )</w:t>
      </w:r>
    </w:p>
    <w:p w14:paraId="75B5331F" w14:textId="77777777" w:rsidR="007F6A3D" w:rsidRPr="00A3551F" w:rsidRDefault="00A3551F" w:rsidP="00466B1C">
      <w:pPr>
        <w:pStyle w:val="Ttulo1"/>
        <w:rPr>
          <w:lang w:val="es-ES"/>
        </w:rPr>
      </w:pPr>
      <w:r w:rsidRPr="00A3551F">
        <w:rPr>
          <w:lang w:val="es-ES" w:bidi="es-ES"/>
        </w:rPr>
        <w:t>AGRUPACIÓN SOLICITANTE E INTERÉS LEGÍTIMO</w:t>
      </w:r>
    </w:p>
    <w:p w14:paraId="43772CD7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/>
        </w:rPr>
        <w:t>C</w:t>
      </w:r>
      <w:r w:rsidRPr="00ED7D9D">
        <w:rPr>
          <w:lang w:val="es-ES"/>
        </w:rPr>
        <w:t>onsejo</w:t>
      </w:r>
      <w:r>
        <w:rPr>
          <w:lang w:val="es-ES"/>
        </w:rPr>
        <w:t xml:space="preserve"> Regulador de la Indicación Geográfica P</w:t>
      </w:r>
      <w:r w:rsidRPr="00ED7D9D">
        <w:rPr>
          <w:lang w:val="es-ES"/>
        </w:rPr>
        <w:t xml:space="preserve">rotegida </w:t>
      </w:r>
      <w:r w:rsidRPr="00983E04">
        <w:rPr>
          <w:lang w:val="es-ES" w:bidi="es-ES"/>
        </w:rPr>
        <w:t>«Carne de Ávila»</w:t>
      </w:r>
    </w:p>
    <w:p w14:paraId="4E000241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 w:bidi="es-ES"/>
        </w:rPr>
        <w:t>Padre Tenaguillo 8</w:t>
      </w:r>
    </w:p>
    <w:p w14:paraId="716362C2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 w:bidi="es-ES"/>
        </w:rPr>
        <w:t>05004 Ávila</w:t>
      </w:r>
    </w:p>
    <w:p w14:paraId="0CD0A2F1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 w:bidi="es-ES"/>
        </w:rPr>
        <w:t>España</w:t>
      </w:r>
    </w:p>
    <w:p w14:paraId="3B07B1C5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 w:bidi="es-ES"/>
        </w:rPr>
        <w:t>Teléfono de contacto:</w:t>
      </w:r>
      <w:r w:rsidRPr="00983E04">
        <w:rPr>
          <w:rFonts w:ascii="Tahoma" w:hAnsi="Tahoma" w:cs="Tahoma"/>
          <w:bCs/>
          <w:color w:val="FF0000"/>
          <w:sz w:val="17"/>
          <w:szCs w:val="17"/>
          <w:shd w:val="clear" w:color="auto" w:fill="FFFFFF"/>
          <w:lang w:val="es-ES"/>
        </w:rPr>
        <w:t xml:space="preserve"> </w:t>
      </w:r>
      <w:r w:rsidRPr="00983E04">
        <w:rPr>
          <w:bCs/>
          <w:lang w:val="es-ES" w:bidi="es-ES"/>
        </w:rPr>
        <w:t>+34 920 35 22 28</w:t>
      </w:r>
    </w:p>
    <w:p w14:paraId="313BB194" w14:textId="77777777" w:rsidR="00983E04" w:rsidRDefault="00983E04" w:rsidP="00983E04">
      <w:pPr>
        <w:pStyle w:val="Text1"/>
        <w:rPr>
          <w:lang w:val="es-ES" w:bidi="es-ES"/>
        </w:rPr>
      </w:pPr>
      <w:r>
        <w:rPr>
          <w:lang w:val="es-ES" w:bidi="es-ES"/>
        </w:rPr>
        <w:t>Correo electrónico:</w:t>
      </w:r>
      <w:r w:rsidR="005F62EF">
        <w:rPr>
          <w:lang w:val="es-ES" w:bidi="es-ES"/>
        </w:rPr>
        <w:t xml:space="preserve"> consejoregulador@carnedeavila.org</w:t>
      </w:r>
    </w:p>
    <w:p w14:paraId="5A183A87" w14:textId="77777777" w:rsidR="00983E04" w:rsidRDefault="00983E04" w:rsidP="007A4DD7">
      <w:pPr>
        <w:pStyle w:val="Text1"/>
        <w:spacing w:line="360" w:lineRule="auto"/>
        <w:rPr>
          <w:lang w:val="es-ES" w:bidi="es-ES"/>
        </w:rPr>
      </w:pPr>
    </w:p>
    <w:p w14:paraId="1951CFF1" w14:textId="60A465D1" w:rsidR="007A4DD7" w:rsidRPr="008000B9" w:rsidRDefault="00D627C5" w:rsidP="007A4DD7">
      <w:pPr>
        <w:pStyle w:val="Text1"/>
        <w:spacing w:before="0" w:after="0" w:line="360" w:lineRule="auto"/>
        <w:rPr>
          <w:lang w:val="es-ES"/>
        </w:rPr>
      </w:pPr>
      <w:r>
        <w:rPr>
          <w:lang w:val="es-ES"/>
        </w:rPr>
        <w:t xml:space="preserve">El Consejo Regulador </w:t>
      </w:r>
      <w:r w:rsidR="008000B9" w:rsidRPr="008000B9">
        <w:rPr>
          <w:lang w:val="es-ES"/>
        </w:rPr>
        <w:t xml:space="preserve">está oficialmente reconocido como entidad de gestión de la IGP “Carne de Ávila” de acuerdo con la disposición adicional primera de la </w:t>
      </w:r>
      <w:r w:rsidR="007A4DD7">
        <w:rPr>
          <w:lang w:val="es-ES"/>
        </w:rPr>
        <w:t>«</w:t>
      </w:r>
      <w:r w:rsidR="008000B9" w:rsidRPr="008000B9">
        <w:rPr>
          <w:lang w:val="es-ES"/>
        </w:rPr>
        <w:t>Ley 6/2015, de 12 de mayo, de denominaciones de origen e indicaciones geográficas protegidas de ámbito territorial supraautonómico</w:t>
      </w:r>
      <w:r w:rsidR="007A4DD7">
        <w:rPr>
          <w:lang w:val="es-ES"/>
        </w:rPr>
        <w:t>»</w:t>
      </w:r>
      <w:r w:rsidR="008000B9" w:rsidRPr="008000B9">
        <w:rPr>
          <w:lang w:val="es-ES"/>
        </w:rPr>
        <w:t xml:space="preserve"> y tiene entre sus funciones específicas la de proponer las modificac</w:t>
      </w:r>
      <w:r w:rsidR="007A4DD7">
        <w:rPr>
          <w:lang w:val="es-ES"/>
        </w:rPr>
        <w:t>iones del pliego de condiciones, de conformidad con lo previsto en el artículo 3.1, c) de la «</w:t>
      </w:r>
      <w:r w:rsidR="007A4DD7" w:rsidRPr="007A4DD7">
        <w:rPr>
          <w:lang w:val="es-ES"/>
        </w:rPr>
        <w:t>Orden APM/1265/2017, de 13 de diciembre, por la que se aprueban los Estatutos del Consejo Regulador de la Indicación Geográfica Protegida "Carne de Ávila"</w:t>
      </w:r>
      <w:r w:rsidR="007A4DD7">
        <w:rPr>
          <w:lang w:val="es-ES"/>
        </w:rPr>
        <w:t>»</w:t>
      </w:r>
      <w:r w:rsidR="007A4DD7" w:rsidRPr="007A4DD7">
        <w:rPr>
          <w:lang w:val="es-ES"/>
        </w:rPr>
        <w:t>.</w:t>
      </w:r>
    </w:p>
    <w:p w14:paraId="4852779F" w14:textId="0A8C18F2" w:rsidR="008132BF" w:rsidRDefault="008132BF" w:rsidP="00466B1C">
      <w:pPr>
        <w:pStyle w:val="Ttulo1"/>
        <w:rPr>
          <w:lang w:val="es-ES"/>
        </w:rPr>
      </w:pPr>
      <w:r>
        <w:rPr>
          <w:lang w:val="es-ES"/>
        </w:rPr>
        <w:t>ESTA</w:t>
      </w:r>
      <w:r w:rsidR="00DF1950">
        <w:rPr>
          <w:lang w:val="es-ES"/>
        </w:rPr>
        <w:t>D</w:t>
      </w:r>
      <w:r>
        <w:rPr>
          <w:lang w:val="es-ES"/>
        </w:rPr>
        <w:t xml:space="preserve">O MIEMBRO </w:t>
      </w:r>
    </w:p>
    <w:p w14:paraId="1EC3F424" w14:textId="77777777" w:rsidR="008132BF" w:rsidRPr="008132BF" w:rsidRDefault="008132BF" w:rsidP="008132BF">
      <w:pPr>
        <w:pStyle w:val="Text1"/>
        <w:rPr>
          <w:lang w:val="es-ES"/>
        </w:rPr>
      </w:pPr>
      <w:r>
        <w:rPr>
          <w:lang w:val="es-ES"/>
        </w:rPr>
        <w:t>España</w:t>
      </w:r>
    </w:p>
    <w:p w14:paraId="5E79D9B3" w14:textId="77777777" w:rsidR="007F6A3D" w:rsidRPr="00A3551F" w:rsidRDefault="00A3551F" w:rsidP="00466B1C">
      <w:pPr>
        <w:pStyle w:val="Ttulo1"/>
        <w:rPr>
          <w:lang w:val="es-ES"/>
        </w:rPr>
      </w:pPr>
      <w:r w:rsidRPr="00A3551F">
        <w:rPr>
          <w:lang w:val="es-ES" w:bidi="es-ES"/>
        </w:rPr>
        <w:t>APARTADO DEL PLIEGO DE CONDICIONES AFECTADO POR LA MODIFICACIÓN</w:t>
      </w:r>
    </w:p>
    <w:p w14:paraId="03A192F4" w14:textId="77777777" w:rsidR="00466B1C" w:rsidRPr="00A3551F" w:rsidRDefault="00466B1C" w:rsidP="00466B1C">
      <w:pPr>
        <w:pStyle w:val="Text1"/>
        <w:rPr>
          <w:lang w:val="es-ES"/>
        </w:rPr>
      </w:pPr>
      <w:r w:rsidRPr="0035748C">
        <w:sym w:font="Wingdings 2" w:char="00A3"/>
      </w:r>
      <w:r w:rsidRPr="00A3551F">
        <w:rPr>
          <w:lang w:val="es-ES"/>
        </w:rPr>
        <w:t xml:space="preserve"> </w:t>
      </w:r>
      <w:r w:rsidR="00A3551F" w:rsidRPr="00A3551F">
        <w:rPr>
          <w:lang w:val="es-ES" w:bidi="es-ES"/>
        </w:rPr>
        <w:t>Nombre del producto</w:t>
      </w:r>
    </w:p>
    <w:p w14:paraId="688F55D5" w14:textId="7CEBCAB4" w:rsidR="00466B1C" w:rsidRPr="00A3551F" w:rsidRDefault="007A4DD7" w:rsidP="00466B1C">
      <w:pPr>
        <w:pStyle w:val="Text1"/>
        <w:rPr>
          <w:lang w:val="es-ES"/>
        </w:rPr>
      </w:pPr>
      <w:r w:rsidRPr="0035748C">
        <w:sym w:font="Wingdings 2" w:char="00A3"/>
      </w:r>
      <w:r w:rsidR="00A3551F" w:rsidRPr="00A3551F">
        <w:rPr>
          <w:lang w:val="es-ES" w:bidi="es-ES"/>
        </w:rPr>
        <w:t>Descripción del producto</w:t>
      </w:r>
    </w:p>
    <w:p w14:paraId="5DDCB940" w14:textId="77777777" w:rsidR="00466B1C" w:rsidRPr="00A3551F" w:rsidRDefault="00E524B1" w:rsidP="00466B1C">
      <w:pPr>
        <w:pStyle w:val="Text1"/>
        <w:rPr>
          <w:lang w:val="es-ES"/>
        </w:rPr>
      </w:pPr>
      <w:r>
        <w:sym w:font="Wingdings 2" w:char="F054"/>
      </w:r>
      <w:r w:rsidR="00466B1C" w:rsidRPr="00A3551F">
        <w:rPr>
          <w:lang w:val="es-ES"/>
        </w:rPr>
        <w:t xml:space="preserve"> </w:t>
      </w:r>
      <w:r w:rsidR="00A3551F" w:rsidRPr="00A3551F">
        <w:rPr>
          <w:lang w:val="es-ES" w:bidi="es-ES"/>
        </w:rPr>
        <w:t>Zona geográfica</w:t>
      </w:r>
    </w:p>
    <w:p w14:paraId="77BBA32A" w14:textId="4BE20ED7" w:rsidR="00466B1C" w:rsidRPr="00A3551F" w:rsidRDefault="007A4DD7" w:rsidP="00466B1C">
      <w:pPr>
        <w:pStyle w:val="Text1"/>
        <w:rPr>
          <w:lang w:val="es-ES"/>
        </w:rPr>
      </w:pPr>
      <w:r w:rsidRPr="0035748C">
        <w:sym w:font="Wingdings 2" w:char="00A3"/>
      </w:r>
      <w:r w:rsidR="004456DD" w:rsidRPr="00A3551F">
        <w:rPr>
          <w:lang w:val="es-ES"/>
        </w:rPr>
        <w:t xml:space="preserve"> </w:t>
      </w:r>
      <w:r w:rsidR="00466B1C" w:rsidRPr="00A3551F">
        <w:rPr>
          <w:lang w:val="es-ES"/>
        </w:rPr>
        <w:t xml:space="preserve"> </w:t>
      </w:r>
      <w:r w:rsidR="00A3551F" w:rsidRPr="00A3551F">
        <w:rPr>
          <w:lang w:val="es-ES" w:bidi="es-ES"/>
        </w:rPr>
        <w:t>Prueba del origen</w:t>
      </w:r>
    </w:p>
    <w:p w14:paraId="746F7711" w14:textId="09CBC635" w:rsidR="00466B1C" w:rsidRPr="00A3551F" w:rsidRDefault="007A4DD7" w:rsidP="00466B1C">
      <w:pPr>
        <w:pStyle w:val="Text1"/>
        <w:rPr>
          <w:lang w:val="es-ES"/>
        </w:rPr>
      </w:pPr>
      <w:r w:rsidRPr="0035748C">
        <w:sym w:font="Wingdings 2" w:char="00A3"/>
      </w:r>
      <w:r w:rsidR="00466B1C" w:rsidRPr="00A3551F">
        <w:rPr>
          <w:lang w:val="es-ES"/>
        </w:rPr>
        <w:t xml:space="preserve"> </w:t>
      </w:r>
      <w:r w:rsidR="00A3551F" w:rsidRPr="00A3551F">
        <w:rPr>
          <w:lang w:val="es-ES" w:bidi="es-ES"/>
        </w:rPr>
        <w:t>Método de obtención</w:t>
      </w:r>
    </w:p>
    <w:p w14:paraId="7337CE45" w14:textId="77777777" w:rsidR="00466B1C" w:rsidRPr="005F62EF" w:rsidRDefault="00466B1C" w:rsidP="00466B1C">
      <w:pPr>
        <w:pStyle w:val="Text1"/>
        <w:rPr>
          <w:lang w:val="es-ES"/>
        </w:rPr>
      </w:pPr>
      <w:r w:rsidRPr="0035748C">
        <w:sym w:font="Wingdings 2" w:char="00A3"/>
      </w:r>
      <w:r w:rsidRPr="005F62EF">
        <w:rPr>
          <w:lang w:val="es-ES"/>
        </w:rPr>
        <w:t xml:space="preserve"> </w:t>
      </w:r>
      <w:r w:rsidR="00A3551F" w:rsidRPr="005F62EF">
        <w:rPr>
          <w:lang w:val="es-ES" w:bidi="es-ES"/>
        </w:rPr>
        <w:t>Vínculo</w:t>
      </w:r>
    </w:p>
    <w:p w14:paraId="3EF11A16" w14:textId="12AA68FE" w:rsidR="00466B1C" w:rsidRPr="005F62EF" w:rsidRDefault="007A4DD7" w:rsidP="00466B1C">
      <w:pPr>
        <w:pStyle w:val="Text1"/>
        <w:rPr>
          <w:lang w:val="es-ES"/>
        </w:rPr>
      </w:pPr>
      <w:r w:rsidRPr="0035748C">
        <w:sym w:font="Wingdings 2" w:char="00A3"/>
      </w:r>
      <w:r w:rsidR="00466B1C" w:rsidRPr="005F62EF">
        <w:rPr>
          <w:lang w:val="es-ES"/>
        </w:rPr>
        <w:t xml:space="preserve"> </w:t>
      </w:r>
      <w:r w:rsidR="00A3551F" w:rsidRPr="005F62EF">
        <w:rPr>
          <w:lang w:val="es-ES" w:bidi="es-ES"/>
        </w:rPr>
        <w:t>Etiquetado</w:t>
      </w:r>
    </w:p>
    <w:p w14:paraId="28B104EA" w14:textId="09F1E055" w:rsidR="00466B1C" w:rsidRDefault="007A4DD7" w:rsidP="007A4DD7">
      <w:pPr>
        <w:pStyle w:val="Text1"/>
        <w:rPr>
          <w:lang w:val="es-ES" w:bidi="es-ES"/>
        </w:rPr>
      </w:pPr>
      <w:r w:rsidRPr="0035748C">
        <w:lastRenderedPageBreak/>
        <w:sym w:font="Wingdings 2" w:char="00A3"/>
      </w:r>
      <w:r w:rsidR="00466B1C" w:rsidRPr="005F62EF">
        <w:rPr>
          <w:lang w:val="es-ES"/>
        </w:rPr>
        <w:t xml:space="preserve"> </w:t>
      </w:r>
      <w:r w:rsidR="00A3551F" w:rsidRPr="005F62EF">
        <w:rPr>
          <w:lang w:val="es-ES" w:bidi="es-ES"/>
        </w:rPr>
        <w:t>Otros [</w:t>
      </w:r>
      <w:r w:rsidR="001F0F86" w:rsidRPr="005F62EF">
        <w:rPr>
          <w:lang w:val="es-ES" w:bidi="es-ES"/>
        </w:rPr>
        <w:t>Estructura de Control, Requisitos Nacionales</w:t>
      </w:r>
      <w:r w:rsidR="00A3551F" w:rsidRPr="005F62EF">
        <w:rPr>
          <w:lang w:val="es-ES" w:bidi="es-ES"/>
        </w:rPr>
        <w:t>]</w:t>
      </w:r>
    </w:p>
    <w:p w14:paraId="1F37E33D" w14:textId="77777777" w:rsidR="007A4DD7" w:rsidRPr="005F62EF" w:rsidRDefault="007A4DD7" w:rsidP="007A4DD7">
      <w:pPr>
        <w:pStyle w:val="Text1"/>
        <w:rPr>
          <w:lang w:val="es-ES"/>
        </w:rPr>
      </w:pPr>
    </w:p>
    <w:p w14:paraId="158E2C9A" w14:textId="13BB7EBD" w:rsidR="007A4DD7" w:rsidRPr="007A4DD7" w:rsidRDefault="00A3551F" w:rsidP="007A4DD7">
      <w:pPr>
        <w:pStyle w:val="Ttulo1"/>
        <w:spacing w:before="0" w:after="0" w:line="360" w:lineRule="auto"/>
        <w:contextualSpacing/>
        <w:rPr>
          <w:lang w:bidi="es-ES"/>
        </w:rPr>
      </w:pPr>
      <w:r w:rsidRPr="007A4DD7">
        <w:rPr>
          <w:lang w:bidi="es-ES"/>
        </w:rPr>
        <w:t>TIPO DE MODIFICACIÓN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866"/>
      </w:tblGrid>
      <w:tr w:rsidR="007A4DD7" w:rsidRPr="005032CD" w14:paraId="46D703A7" w14:textId="77777777" w:rsidTr="00785F44">
        <w:tc>
          <w:tcPr>
            <w:tcW w:w="0" w:type="auto"/>
            <w:shd w:val="clear" w:color="auto" w:fill="FFFFFF"/>
            <w:hideMark/>
          </w:tcPr>
          <w:p w14:paraId="4825FA37" w14:textId="77777777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n-US"/>
              </w:rPr>
            </w:pPr>
            <w:r w:rsidRPr="007A4DD7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1CBA4C11" w14:textId="444CDF47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7A4DD7">
              <w:rPr>
                <w:lang w:val="es-ES"/>
              </w:rPr>
              <w:t>Modificación del pliego de condiciones de una DOP o IGP registrada que, a tenor del artículo 53, apartado 2, párrafo tercero, del Reglamento (UE) n</w:t>
            </w:r>
            <w:r w:rsidRPr="007A4DD7">
              <w:rPr>
                <w:vertAlign w:val="superscript"/>
                <w:lang w:val="es-ES"/>
              </w:rPr>
              <w:t>o</w:t>
            </w:r>
            <w:r w:rsidRPr="007A4DD7">
              <w:rPr>
                <w:lang w:val="es-ES"/>
              </w:rPr>
              <w:t> 1151/2012, se considera normal, que no requiere la modificación del documento único publicado.</w:t>
            </w:r>
          </w:p>
          <w:p w14:paraId="73FCDDD4" w14:textId="166ADD59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</w:p>
        </w:tc>
      </w:tr>
    </w:tbl>
    <w:p w14:paraId="41B3FE67" w14:textId="77777777" w:rsidR="007A4DD7" w:rsidRPr="007A4DD7" w:rsidRDefault="007A4DD7" w:rsidP="007A4DD7">
      <w:pPr>
        <w:spacing w:before="0" w:after="0" w:line="360" w:lineRule="auto"/>
        <w:contextualSpacing/>
        <w:rPr>
          <w:vanish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9"/>
      </w:tblGrid>
      <w:tr w:rsidR="007A4DD7" w:rsidRPr="005032CD" w14:paraId="7FA173CA" w14:textId="77777777" w:rsidTr="00785F44">
        <w:tc>
          <w:tcPr>
            <w:tcW w:w="0" w:type="auto"/>
            <w:shd w:val="clear" w:color="auto" w:fill="FFFFFF"/>
            <w:hideMark/>
          </w:tcPr>
          <w:p w14:paraId="31337C00" w14:textId="302BC918" w:rsidR="007A4DD7" w:rsidRPr="007A4DD7" w:rsidRDefault="00265AB8" w:rsidP="007A4DD7">
            <w:pPr>
              <w:spacing w:before="0" w:after="0" w:line="360" w:lineRule="auto"/>
              <w:contextualSpacing/>
              <w:rPr>
                <w:lang w:val="en-US"/>
              </w:rPr>
            </w:pPr>
            <w:r>
              <w:sym w:font="Wingdings 2" w:char="F054"/>
            </w:r>
          </w:p>
        </w:tc>
        <w:tc>
          <w:tcPr>
            <w:tcW w:w="0" w:type="auto"/>
            <w:shd w:val="clear" w:color="auto" w:fill="FFFFFF"/>
            <w:hideMark/>
          </w:tcPr>
          <w:p w14:paraId="2F1C9AD0" w14:textId="4D5F3744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7A4DD7">
              <w:rPr>
                <w:lang w:val="es-ES"/>
              </w:rPr>
              <w:t>Modificación del pliego de condiciones de una DOP o IGP registrada que, a tenor del artículo 53, apartado 2, párrafo tercero, del Reglamento (UE) n</w:t>
            </w:r>
            <w:r w:rsidRPr="007A4DD7">
              <w:rPr>
                <w:vertAlign w:val="superscript"/>
                <w:lang w:val="es-ES"/>
              </w:rPr>
              <w:t>o</w:t>
            </w:r>
            <w:r w:rsidRPr="007A4DD7">
              <w:rPr>
                <w:lang w:val="es-ES"/>
              </w:rPr>
              <w:t> 1151/2012, se considera normal, que requiere la modificación del documento único publicado.</w:t>
            </w:r>
          </w:p>
          <w:p w14:paraId="1F28E9E3" w14:textId="0AEC87A6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</w:p>
        </w:tc>
      </w:tr>
    </w:tbl>
    <w:p w14:paraId="6FE413C7" w14:textId="77777777" w:rsidR="007A4DD7" w:rsidRPr="007A4DD7" w:rsidRDefault="007A4DD7" w:rsidP="007A4DD7">
      <w:pPr>
        <w:spacing w:before="0" w:after="0" w:line="360" w:lineRule="auto"/>
        <w:contextualSpacing/>
        <w:rPr>
          <w:vanish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866"/>
      </w:tblGrid>
      <w:tr w:rsidR="007A4DD7" w:rsidRPr="005032CD" w14:paraId="420007C2" w14:textId="77777777" w:rsidTr="00265AB8">
        <w:tc>
          <w:tcPr>
            <w:tcW w:w="78" w:type="pct"/>
            <w:shd w:val="clear" w:color="auto" w:fill="FFFFFF"/>
            <w:hideMark/>
          </w:tcPr>
          <w:p w14:paraId="1BD79BD4" w14:textId="43871E7F" w:rsidR="007A4DD7" w:rsidRPr="007A4DD7" w:rsidRDefault="00265AB8" w:rsidP="007A4DD7">
            <w:pPr>
              <w:spacing w:before="0" w:after="0" w:line="360" w:lineRule="auto"/>
              <w:contextualSpacing/>
              <w:rPr>
                <w:lang w:val="en-US"/>
              </w:rPr>
            </w:pPr>
            <w:r w:rsidRPr="007A4DD7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4922" w:type="pct"/>
            <w:shd w:val="clear" w:color="auto" w:fill="FFFFFF"/>
            <w:hideMark/>
          </w:tcPr>
          <w:p w14:paraId="231C9994" w14:textId="77777777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  <w:r w:rsidRPr="007A4DD7">
              <w:rPr>
                <w:lang w:val="es-ES"/>
              </w:rPr>
              <w:t xml:space="preserve"> Modificación del pliego de condiciones de una DOP o IGP registrada que, a tenor del artículo 53, apartado 2, párrafo tercero, del Reglamento (UE) n</w:t>
            </w:r>
            <w:r w:rsidRPr="007A4DD7">
              <w:rPr>
                <w:vertAlign w:val="superscript"/>
                <w:lang w:val="es-ES"/>
              </w:rPr>
              <w:t>o</w:t>
            </w:r>
            <w:r w:rsidRPr="007A4DD7">
              <w:rPr>
                <w:lang w:val="es-ES"/>
              </w:rPr>
              <w:t> 1151/2012, se considera normal, cuyo documento único (o equivalente) no ha sido publicado.</w:t>
            </w:r>
          </w:p>
          <w:p w14:paraId="3981C219" w14:textId="2CCBD7A5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</w:p>
        </w:tc>
      </w:tr>
    </w:tbl>
    <w:p w14:paraId="16366CAE" w14:textId="77777777" w:rsidR="007A4DD7" w:rsidRPr="007A4DD7" w:rsidRDefault="007A4DD7" w:rsidP="007A4DD7">
      <w:pPr>
        <w:spacing w:before="0" w:after="0" w:line="360" w:lineRule="auto"/>
        <w:contextualSpacing/>
        <w:rPr>
          <w:vanish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866"/>
      </w:tblGrid>
      <w:tr w:rsidR="007A4DD7" w:rsidRPr="005032CD" w14:paraId="21E35B64" w14:textId="77777777" w:rsidTr="00785F44">
        <w:tc>
          <w:tcPr>
            <w:tcW w:w="0" w:type="auto"/>
            <w:shd w:val="clear" w:color="auto" w:fill="FFFFFF"/>
            <w:hideMark/>
          </w:tcPr>
          <w:p w14:paraId="40F40276" w14:textId="77777777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n-US"/>
              </w:rPr>
            </w:pPr>
            <w:r w:rsidRPr="007A4DD7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34026CA2" w14:textId="1DE2E95B" w:rsidR="009C6A0E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7A4DD7">
              <w:rPr>
                <w:lang w:val="es-ES"/>
              </w:rPr>
              <w:t>Modificación del pliego de condiciones de una ETG registrada que, a tenor del artículo 53, apartado 2, párrafo cuarto, del Reglamento (UE) n</w:t>
            </w:r>
            <w:r w:rsidRPr="007A4DD7">
              <w:rPr>
                <w:vertAlign w:val="superscript"/>
                <w:lang w:val="es-ES"/>
              </w:rPr>
              <w:t>o</w:t>
            </w:r>
            <w:r w:rsidRPr="007A4DD7">
              <w:rPr>
                <w:lang w:val="es-ES"/>
              </w:rPr>
              <w:t> 1151/2012, se considera normal.</w:t>
            </w:r>
          </w:p>
          <w:p w14:paraId="251F0726" w14:textId="77777777" w:rsidR="00B03AED" w:rsidRDefault="00B03AED" w:rsidP="007A4DD7">
            <w:pPr>
              <w:spacing w:before="0" w:after="0" w:line="360" w:lineRule="auto"/>
              <w:contextualSpacing/>
              <w:rPr>
                <w:lang w:val="es-ES"/>
              </w:rPr>
            </w:pPr>
          </w:p>
          <w:p w14:paraId="6C0F4BFF" w14:textId="2AAC92D8" w:rsidR="007A4DD7" w:rsidRPr="007A4DD7" w:rsidRDefault="007A4DD7" w:rsidP="007A4DD7">
            <w:pPr>
              <w:spacing w:before="0" w:after="0" w:line="360" w:lineRule="auto"/>
              <w:contextualSpacing/>
              <w:rPr>
                <w:lang w:val="es-ES"/>
              </w:rPr>
            </w:pPr>
          </w:p>
        </w:tc>
      </w:tr>
    </w:tbl>
    <w:p w14:paraId="7AA79F59" w14:textId="77777777" w:rsidR="00822F9A" w:rsidRPr="007A4DD7" w:rsidRDefault="00A3551F" w:rsidP="007A4DD7">
      <w:pPr>
        <w:pStyle w:val="Ttulo1"/>
        <w:spacing w:before="0" w:after="0" w:line="360" w:lineRule="auto"/>
        <w:contextualSpacing/>
        <w:rPr>
          <w:lang w:val="es-ES"/>
        </w:rPr>
      </w:pPr>
      <w:r w:rsidRPr="007A4DD7">
        <w:rPr>
          <w:lang w:bidi="es-ES"/>
        </w:rPr>
        <w:t>MODIFICACIONES</w:t>
      </w:r>
    </w:p>
    <w:p w14:paraId="0B9902E9" w14:textId="77777777" w:rsidR="00CA1AF7" w:rsidRPr="00CA1AF7" w:rsidRDefault="00CA1AF7" w:rsidP="00CA1AF7">
      <w:pPr>
        <w:pStyle w:val="Prrafodelista"/>
        <w:numPr>
          <w:ilvl w:val="0"/>
          <w:numId w:val="6"/>
        </w:numPr>
        <w:rPr>
          <w:vanish/>
          <w:lang w:val="es-ES"/>
        </w:rPr>
      </w:pPr>
    </w:p>
    <w:p w14:paraId="08115594" w14:textId="77777777" w:rsidR="00CA1AF7" w:rsidRPr="00CA1AF7" w:rsidRDefault="00CA1AF7" w:rsidP="00CA1AF7">
      <w:pPr>
        <w:pStyle w:val="Prrafodelista"/>
        <w:numPr>
          <w:ilvl w:val="0"/>
          <w:numId w:val="6"/>
        </w:numPr>
        <w:rPr>
          <w:vanish/>
          <w:lang w:val="es-ES"/>
        </w:rPr>
      </w:pPr>
    </w:p>
    <w:p w14:paraId="1C0CB355" w14:textId="77777777" w:rsidR="00CA1AF7" w:rsidRPr="00CA1AF7" w:rsidRDefault="00CA1AF7" w:rsidP="00CA1AF7">
      <w:pPr>
        <w:pStyle w:val="Prrafodelista"/>
        <w:numPr>
          <w:ilvl w:val="0"/>
          <w:numId w:val="6"/>
        </w:numPr>
        <w:rPr>
          <w:vanish/>
          <w:lang w:val="es-ES"/>
        </w:rPr>
      </w:pPr>
    </w:p>
    <w:p w14:paraId="2E488FEF" w14:textId="77777777" w:rsidR="00CA1AF7" w:rsidRPr="00CA1AF7" w:rsidRDefault="00CA1AF7" w:rsidP="00CA1AF7">
      <w:pPr>
        <w:pStyle w:val="Prrafodelista"/>
        <w:numPr>
          <w:ilvl w:val="0"/>
          <w:numId w:val="6"/>
        </w:numPr>
        <w:rPr>
          <w:vanish/>
          <w:lang w:val="es-ES"/>
        </w:rPr>
      </w:pPr>
    </w:p>
    <w:p w14:paraId="30C68550" w14:textId="77777777" w:rsidR="00CA1AF7" w:rsidRPr="00CA1AF7" w:rsidRDefault="00CA1AF7" w:rsidP="00CA1AF7">
      <w:pPr>
        <w:pStyle w:val="Prrafodelista"/>
        <w:numPr>
          <w:ilvl w:val="0"/>
          <w:numId w:val="6"/>
        </w:numPr>
        <w:rPr>
          <w:vanish/>
          <w:lang w:val="es-ES"/>
        </w:rPr>
      </w:pPr>
    </w:p>
    <w:p w14:paraId="7A0F46CF" w14:textId="50029B21" w:rsidR="00125ECC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  <w:r>
        <w:rPr>
          <w:lang w:val="es-ES"/>
        </w:rPr>
        <w:t xml:space="preserve">5.1. Se modifica </w:t>
      </w:r>
      <w:r w:rsidRPr="008132BF">
        <w:rPr>
          <w:lang w:val="es-ES"/>
        </w:rPr>
        <w:t>el</w:t>
      </w:r>
      <w:r>
        <w:rPr>
          <w:lang w:val="es-ES"/>
        </w:rPr>
        <w:t xml:space="preserve"> apartado “</w:t>
      </w:r>
      <w:r w:rsidRPr="00F35C6C">
        <w:rPr>
          <w:i/>
          <w:lang w:val="es-ES"/>
        </w:rPr>
        <w:t>C) Zona geográfica</w:t>
      </w:r>
      <w:r>
        <w:rPr>
          <w:lang w:val="es-ES"/>
        </w:rPr>
        <w:t>” del</w:t>
      </w:r>
      <w:r w:rsidRPr="008132BF">
        <w:rPr>
          <w:lang w:val="es-ES"/>
        </w:rPr>
        <w:t xml:space="preserve"> Pliego de Condiciones</w:t>
      </w:r>
      <w:r>
        <w:rPr>
          <w:lang w:val="es-ES"/>
        </w:rPr>
        <w:t>.</w:t>
      </w:r>
    </w:p>
    <w:p w14:paraId="371C6A09" w14:textId="77777777" w:rsidR="00125ECC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</w:p>
    <w:p w14:paraId="581CB867" w14:textId="77777777" w:rsidR="00125ECC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  <w:r>
        <w:rPr>
          <w:lang w:val="es-ES"/>
        </w:rPr>
        <w:t xml:space="preserve">La modificación consiste en la supresión de la mención a la normativa nacional contenida al final de la zona de producción cuyo tenor literal es </w:t>
      </w:r>
      <w:r w:rsidRPr="005032CD">
        <w:rPr>
          <w:i/>
          <w:lang w:val="es-ES"/>
        </w:rPr>
        <w:t>“</w:t>
      </w:r>
      <w:r>
        <w:rPr>
          <w:i/>
          <w:lang w:val="es-ES"/>
        </w:rPr>
        <w:t>(</w:t>
      </w:r>
      <w:r w:rsidRPr="005032CD">
        <w:rPr>
          <w:i/>
          <w:lang w:val="es-ES"/>
        </w:rPr>
        <w:t>Artículo 1 de la Orden de 10 de noviembre de 1993 por la que se modifica la Orden de 4 de diciembre de 1990</w:t>
      </w:r>
      <w:r>
        <w:rPr>
          <w:i/>
          <w:lang w:val="es-ES"/>
        </w:rPr>
        <w:t>)</w:t>
      </w:r>
      <w:r w:rsidRPr="005032CD">
        <w:rPr>
          <w:i/>
          <w:lang w:val="es-ES"/>
        </w:rPr>
        <w:t>”</w:t>
      </w:r>
      <w:r>
        <w:rPr>
          <w:lang w:val="es-ES"/>
        </w:rPr>
        <w:t xml:space="preserve">; y la supresión de la </w:t>
      </w:r>
      <w:r w:rsidRPr="005032CD">
        <w:rPr>
          <w:lang w:val="es-ES"/>
        </w:rPr>
        <w:t xml:space="preserve">mención a la normativa nacional contenida al final de la zona de </w:t>
      </w:r>
      <w:r>
        <w:rPr>
          <w:lang w:val="es-ES"/>
        </w:rPr>
        <w:t>elabora</w:t>
      </w:r>
      <w:r w:rsidRPr="005032CD">
        <w:rPr>
          <w:lang w:val="es-ES"/>
        </w:rPr>
        <w:t xml:space="preserve">ción cuyo tenor literal es </w:t>
      </w:r>
      <w:r w:rsidRPr="005032CD">
        <w:rPr>
          <w:i/>
          <w:lang w:val="es-ES"/>
        </w:rPr>
        <w:t>“(Artículo 1 de la Orden de 10 de noviembre de 1993 por la que se modifica la Orden de 4 de diciembre de 1990)”</w:t>
      </w:r>
      <w:r w:rsidRPr="005032CD">
        <w:rPr>
          <w:lang w:val="es-ES"/>
        </w:rPr>
        <w:t xml:space="preserve">. </w:t>
      </w:r>
    </w:p>
    <w:p w14:paraId="60DB3F27" w14:textId="77777777" w:rsidR="00125ECC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</w:p>
    <w:p w14:paraId="56129F0C" w14:textId="77777777" w:rsidR="00125ECC" w:rsidRPr="00364DF6" w:rsidRDefault="00125ECC" w:rsidP="00125ECC">
      <w:pPr>
        <w:pStyle w:val="Text1"/>
        <w:ind w:left="0"/>
        <w:rPr>
          <w:b/>
          <w:lang w:val="es-ES" w:bidi="es-ES"/>
        </w:rPr>
      </w:pPr>
      <w:r w:rsidRPr="00364DF6">
        <w:rPr>
          <w:b/>
          <w:lang w:val="es-ES" w:bidi="es-ES"/>
        </w:rPr>
        <w:t>Justificación de la modificación</w:t>
      </w:r>
      <w:r>
        <w:rPr>
          <w:b/>
          <w:lang w:val="es-ES" w:bidi="es-ES"/>
        </w:rPr>
        <w:t xml:space="preserve"> introducida</w:t>
      </w:r>
      <w:r w:rsidRPr="00364DF6">
        <w:rPr>
          <w:b/>
          <w:lang w:val="es-ES" w:bidi="es-ES"/>
        </w:rPr>
        <w:t>:</w:t>
      </w:r>
    </w:p>
    <w:p w14:paraId="236C6E12" w14:textId="77777777" w:rsidR="00125ECC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</w:p>
    <w:p w14:paraId="11C772CC" w14:textId="77777777" w:rsidR="00125ECC" w:rsidRPr="00191DBD" w:rsidRDefault="00125ECC" w:rsidP="00125ECC">
      <w:pPr>
        <w:pStyle w:val="Text1"/>
        <w:spacing w:line="360" w:lineRule="auto"/>
        <w:ind w:left="0"/>
        <w:contextualSpacing/>
        <w:rPr>
          <w:lang w:val="es-ES"/>
        </w:rPr>
      </w:pPr>
      <w:r>
        <w:rPr>
          <w:lang w:val="es-ES"/>
        </w:rPr>
        <w:t xml:space="preserve">El motivo de esta modificación </w:t>
      </w:r>
      <w:r w:rsidRPr="00191DBD">
        <w:rPr>
          <w:lang w:val="es-ES"/>
        </w:rPr>
        <w:t>es que las referencias legislativas antes citadas</w:t>
      </w:r>
      <w:r>
        <w:rPr>
          <w:lang w:val="es-ES"/>
        </w:rPr>
        <w:t xml:space="preserve"> carecen de sentido en dicho apartado, de conformidad </w:t>
      </w:r>
      <w:r w:rsidRPr="00191DBD">
        <w:rPr>
          <w:lang w:val="es-ES"/>
        </w:rPr>
        <w:t xml:space="preserve">con </w:t>
      </w:r>
      <w:r>
        <w:rPr>
          <w:lang w:val="es-ES"/>
        </w:rPr>
        <w:t xml:space="preserve">lo previsto al respecto en el artículo 7.1, c) del </w:t>
      </w:r>
      <w:r w:rsidRPr="00191DBD">
        <w:rPr>
          <w:lang w:val="es-ES"/>
        </w:rPr>
        <w:t>«Reglamento (UE) nº 1151/2012, del Parlamento Europeo y del Consejo, de 21 de noviembre de 2012, sobre los regímenes de calidad de los productos</w:t>
      </w:r>
      <w:r>
        <w:rPr>
          <w:lang w:val="es-ES"/>
        </w:rPr>
        <w:t xml:space="preserve"> agrícolas y alimenticios»</w:t>
      </w:r>
      <w:r w:rsidRPr="00191DBD">
        <w:rPr>
          <w:lang w:val="es-ES"/>
        </w:rPr>
        <w:t>.</w:t>
      </w:r>
    </w:p>
    <w:p w14:paraId="3FAE9798" w14:textId="7A78E2C4" w:rsidR="00125ECC" w:rsidRDefault="00125ECC" w:rsidP="009C6A0E">
      <w:pPr>
        <w:pStyle w:val="Text1"/>
        <w:spacing w:line="360" w:lineRule="auto"/>
        <w:ind w:left="0"/>
        <w:contextualSpacing/>
        <w:rPr>
          <w:lang w:val="es-ES"/>
        </w:rPr>
      </w:pPr>
    </w:p>
    <w:p w14:paraId="7D7173B0" w14:textId="532AD01B" w:rsidR="009C6A0E" w:rsidRDefault="00125ECC" w:rsidP="009C6A0E">
      <w:pPr>
        <w:pStyle w:val="Text1"/>
        <w:spacing w:line="360" w:lineRule="auto"/>
        <w:ind w:left="0"/>
        <w:contextualSpacing/>
        <w:rPr>
          <w:lang w:val="es-ES"/>
        </w:rPr>
      </w:pPr>
      <w:r>
        <w:rPr>
          <w:lang w:val="es-ES"/>
        </w:rPr>
        <w:t xml:space="preserve">5.2. </w:t>
      </w:r>
      <w:r w:rsidR="00126BEE">
        <w:rPr>
          <w:lang w:val="es-ES"/>
        </w:rPr>
        <w:t>Se modifica</w:t>
      </w:r>
      <w:r w:rsidR="00F35C6C">
        <w:rPr>
          <w:lang w:val="es-ES"/>
        </w:rPr>
        <w:t xml:space="preserve"> </w:t>
      </w:r>
      <w:r w:rsidR="008132BF" w:rsidRPr="008132BF">
        <w:rPr>
          <w:lang w:val="es-ES"/>
        </w:rPr>
        <w:t>el</w:t>
      </w:r>
      <w:r w:rsidR="00F35C6C">
        <w:rPr>
          <w:lang w:val="es-ES"/>
        </w:rPr>
        <w:t xml:space="preserve"> apartado “</w:t>
      </w:r>
      <w:r w:rsidR="00F35C6C" w:rsidRPr="00F35C6C">
        <w:rPr>
          <w:i/>
          <w:lang w:val="es-ES"/>
        </w:rPr>
        <w:t>C) Zona geográfica</w:t>
      </w:r>
      <w:r w:rsidR="00F35C6C">
        <w:rPr>
          <w:lang w:val="es-ES"/>
        </w:rPr>
        <w:t>” del</w:t>
      </w:r>
      <w:r w:rsidR="008132BF" w:rsidRPr="008132BF">
        <w:rPr>
          <w:lang w:val="es-ES"/>
        </w:rPr>
        <w:t xml:space="preserve"> Pliego de Condiciones</w:t>
      </w:r>
      <w:r w:rsidR="00F35C6C">
        <w:rPr>
          <w:lang w:val="es-ES"/>
        </w:rPr>
        <w:t xml:space="preserve"> y el apartado </w:t>
      </w:r>
      <w:r w:rsidR="00F35C6C" w:rsidRPr="00F35C6C">
        <w:rPr>
          <w:i/>
          <w:lang w:val="es-ES"/>
        </w:rPr>
        <w:t>“4. Descripción sucinta de la zona geográfica”</w:t>
      </w:r>
      <w:r w:rsidR="00F35C6C">
        <w:rPr>
          <w:lang w:val="es-ES"/>
        </w:rPr>
        <w:t xml:space="preserve"> del Documento Único</w:t>
      </w:r>
      <w:r w:rsidR="009C6A0E">
        <w:rPr>
          <w:lang w:val="es-ES"/>
        </w:rPr>
        <w:t>.</w:t>
      </w:r>
    </w:p>
    <w:p w14:paraId="5CF96911" w14:textId="77777777" w:rsidR="009C6A0E" w:rsidRDefault="009C6A0E" w:rsidP="009C6A0E">
      <w:pPr>
        <w:pStyle w:val="Text1"/>
        <w:spacing w:line="360" w:lineRule="auto"/>
        <w:ind w:left="0"/>
        <w:contextualSpacing/>
        <w:rPr>
          <w:lang w:val="es-ES"/>
        </w:rPr>
      </w:pPr>
    </w:p>
    <w:p w14:paraId="6B012E56" w14:textId="0155C2DB" w:rsidR="009C6A0E" w:rsidRPr="009C6A0E" w:rsidRDefault="009C6A0E" w:rsidP="009C6A0E">
      <w:pPr>
        <w:pStyle w:val="Text1"/>
        <w:spacing w:line="360" w:lineRule="auto"/>
        <w:ind w:left="0"/>
        <w:contextualSpacing/>
        <w:rPr>
          <w:lang w:val="es-ES"/>
        </w:rPr>
      </w:pPr>
      <w:r>
        <w:rPr>
          <w:lang w:val="es-ES"/>
        </w:rPr>
        <w:t xml:space="preserve">La modificación consiste en la supresión del párrafo correspondiente a la zona de elaboración y los territorios que la integran; </w:t>
      </w:r>
      <w:r w:rsidR="00B03AED">
        <w:rPr>
          <w:lang w:val="es-ES"/>
        </w:rPr>
        <w:t>así como</w:t>
      </w:r>
      <w:r>
        <w:rPr>
          <w:lang w:val="es-ES"/>
        </w:rPr>
        <w:t xml:space="preserve"> en la adición al párrafo correspondiente a la zona de producción de la </w:t>
      </w:r>
      <w:r w:rsidR="00B03AED">
        <w:rPr>
          <w:lang w:val="es-ES"/>
        </w:rPr>
        <w:t xml:space="preserve">siguiente </w:t>
      </w:r>
      <w:r>
        <w:rPr>
          <w:lang w:val="es-ES"/>
        </w:rPr>
        <w:t xml:space="preserve">mención </w:t>
      </w:r>
      <w:r w:rsidRPr="009C6A0E">
        <w:rPr>
          <w:i/>
          <w:lang w:val="es-ES"/>
        </w:rPr>
        <w:t>“y de elaboración del producto amparado por la I.G.P.”</w:t>
      </w:r>
      <w:r>
        <w:rPr>
          <w:i/>
          <w:lang w:val="es-ES"/>
        </w:rPr>
        <w:t xml:space="preserve">; </w:t>
      </w:r>
      <w:r w:rsidRPr="009C6A0E">
        <w:rPr>
          <w:lang w:val="es-ES"/>
        </w:rPr>
        <w:t>quedando el párrafo redactado de la siguiente manera:</w:t>
      </w:r>
    </w:p>
    <w:p w14:paraId="701611EF" w14:textId="77777777" w:rsidR="009C6A0E" w:rsidRPr="00B03AED" w:rsidRDefault="009C6A0E" w:rsidP="0094534A">
      <w:pPr>
        <w:spacing w:before="0" w:after="0" w:line="360" w:lineRule="auto"/>
        <w:ind w:firstLine="540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La zona de producción del ganado de raza Avileña-Negra Ibérica y de elaboración del producto amparado por la I.G.P. está constituida por las Comarcas Agrarias, agrupadas por provincias y Comunidades Autónomas, que se relacionan a continuación:</w:t>
      </w:r>
    </w:p>
    <w:p w14:paraId="19BAFEC7" w14:textId="77777777" w:rsidR="009C6A0E" w:rsidRPr="00B03AED" w:rsidRDefault="009C6A0E" w:rsidP="0094534A">
      <w:pPr>
        <w:spacing w:before="0" w:after="0" w:line="360" w:lineRule="auto"/>
        <w:ind w:firstLine="540"/>
        <w:contextualSpacing/>
        <w:rPr>
          <w:i/>
          <w:lang w:val="es-ES_tradnl" w:eastAsia="es-ES"/>
        </w:rPr>
      </w:pPr>
    </w:p>
    <w:p w14:paraId="35CCE2FF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Comunidad Autónoma de Andalucía:</w:t>
      </w:r>
    </w:p>
    <w:p w14:paraId="102D2E27" w14:textId="77777777" w:rsidR="009C6A0E" w:rsidRPr="00B03AED" w:rsidRDefault="009C6A0E" w:rsidP="0094534A">
      <w:pPr>
        <w:spacing w:before="0" w:after="0" w:line="360" w:lineRule="auto"/>
        <w:ind w:left="143" w:firstLine="708"/>
        <w:contextualSpacing/>
        <w:rPr>
          <w:i/>
          <w:lang w:val="es-ES" w:eastAsia="es-ES"/>
        </w:rPr>
      </w:pPr>
      <w:r w:rsidRPr="00B03AED">
        <w:rPr>
          <w:i/>
          <w:lang w:val="es-ES_tradnl" w:eastAsia="es-ES"/>
        </w:rPr>
        <w:t>Córdoba: Los Pedroches, La sierra y Campiña Baja.</w:t>
      </w:r>
    </w:p>
    <w:p w14:paraId="305035A8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Huelva: Sierra.</w:t>
      </w:r>
    </w:p>
    <w:p w14:paraId="10273D4F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Jaén: Sierra Morena.</w:t>
      </w:r>
    </w:p>
    <w:p w14:paraId="4C67B9EB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Sevilla: Sierra Norte.</w:t>
      </w:r>
    </w:p>
    <w:p w14:paraId="42544B61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</w:p>
    <w:p w14:paraId="36DCAE5E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" w:eastAsia="es-ES"/>
        </w:rPr>
        <w:t>Comunidad Autónoma de Aragón:</w:t>
      </w:r>
    </w:p>
    <w:p w14:paraId="4B1A15BA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Teruel: Serranía de Albarracín, Maestrazgo.</w:t>
      </w:r>
    </w:p>
    <w:p w14:paraId="42C068A5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</w:p>
    <w:p w14:paraId="6A7B673E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Comunidad Autónoma de Castilla-La Mancha:</w:t>
      </w:r>
    </w:p>
    <w:p w14:paraId="1B34A58B" w14:textId="7C547E2A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 xml:space="preserve">Ciudad Real: Montes Norte, Campo </w:t>
      </w:r>
      <w:r w:rsidR="00160A33">
        <w:rPr>
          <w:i/>
          <w:lang w:val="es-ES" w:eastAsia="es-ES"/>
        </w:rPr>
        <w:t xml:space="preserve">de </w:t>
      </w:r>
      <w:r w:rsidRPr="00B03AED">
        <w:rPr>
          <w:i/>
          <w:lang w:val="es-ES" w:eastAsia="es-ES"/>
        </w:rPr>
        <w:t>Calatrava, Montes Sur, Pastos.</w:t>
      </w:r>
    </w:p>
    <w:p w14:paraId="4DBF8E2D" w14:textId="77777777" w:rsidR="009C6A0E" w:rsidRPr="00B03AED" w:rsidRDefault="009C6A0E" w:rsidP="0094534A">
      <w:pPr>
        <w:tabs>
          <w:tab w:val="left" w:pos="360"/>
          <w:tab w:val="left" w:pos="720"/>
          <w:tab w:val="left" w:pos="12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Guadalajara: Todas las comarcas.</w:t>
      </w:r>
    </w:p>
    <w:p w14:paraId="44186C6F" w14:textId="2756FD71" w:rsidR="009C6A0E" w:rsidRDefault="009C6A0E" w:rsidP="0094534A">
      <w:pPr>
        <w:tabs>
          <w:tab w:val="left" w:pos="360"/>
          <w:tab w:val="left" w:pos="720"/>
          <w:tab w:val="left" w:pos="12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Toledo: Talavera, Torrijos, Sagra</w:t>
      </w:r>
      <w:r w:rsidR="00160A33">
        <w:rPr>
          <w:i/>
          <w:lang w:val="es-ES" w:eastAsia="es-ES"/>
        </w:rPr>
        <w:t>-</w:t>
      </w:r>
      <w:r w:rsidRPr="00B03AED">
        <w:rPr>
          <w:i/>
          <w:lang w:val="es-ES" w:eastAsia="es-ES"/>
        </w:rPr>
        <w:t>Toledo, La Jara, Montes de Nava</w:t>
      </w:r>
      <w:r w:rsidR="00160A33">
        <w:rPr>
          <w:i/>
          <w:lang w:val="es-ES" w:eastAsia="es-ES"/>
        </w:rPr>
        <w:t>hermosa</w:t>
      </w:r>
      <w:r w:rsidRPr="00B03AED">
        <w:rPr>
          <w:i/>
          <w:lang w:val="es-ES" w:eastAsia="es-ES"/>
        </w:rPr>
        <w:t>, Montes de los Yébenes.</w:t>
      </w:r>
    </w:p>
    <w:p w14:paraId="404AA7D4" w14:textId="77777777" w:rsidR="0094534A" w:rsidRPr="00B03AED" w:rsidRDefault="0094534A" w:rsidP="0094534A">
      <w:pPr>
        <w:tabs>
          <w:tab w:val="left" w:pos="360"/>
          <w:tab w:val="left" w:pos="720"/>
          <w:tab w:val="left" w:pos="12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</w:p>
    <w:p w14:paraId="7804C9D8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Comunidad Autónoma de Castilla y León:</w:t>
      </w:r>
    </w:p>
    <w:p w14:paraId="6AC05668" w14:textId="2358F808" w:rsidR="009C6A0E" w:rsidRPr="00B03AED" w:rsidRDefault="007A1661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Ávila</w:t>
      </w:r>
      <w:r w:rsidR="009C6A0E" w:rsidRPr="00B03AED">
        <w:rPr>
          <w:i/>
          <w:lang w:val="es-ES_tradnl" w:eastAsia="es-ES"/>
        </w:rPr>
        <w:t>: Todas las comarcas.</w:t>
      </w:r>
    </w:p>
    <w:p w14:paraId="6FBFC632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Burgos: Demanda.</w:t>
      </w:r>
    </w:p>
    <w:p w14:paraId="2B235404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León: La Montaña de Riaño, Sahagún.</w:t>
      </w:r>
    </w:p>
    <w:p w14:paraId="055AEE01" w14:textId="77777777" w:rsidR="009C6A0E" w:rsidRPr="00B03AED" w:rsidRDefault="009C6A0E" w:rsidP="0094534A">
      <w:pPr>
        <w:tabs>
          <w:tab w:val="num" w:pos="0"/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Palencia: Guardo, Cervera.</w:t>
      </w:r>
    </w:p>
    <w:p w14:paraId="0C6959F5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Salamanca: Todas las comarcas.</w:t>
      </w:r>
    </w:p>
    <w:p w14:paraId="40ACCB52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Segovia: Todas las comarcas.</w:t>
      </w:r>
    </w:p>
    <w:p w14:paraId="4000CEEC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Soria: Pinares.</w:t>
      </w:r>
    </w:p>
    <w:p w14:paraId="7A0F0E2B" w14:textId="77777777" w:rsidR="009C6A0E" w:rsidRPr="00B03AED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Valladolid: Centro, Sur, Sureste.</w:t>
      </w:r>
    </w:p>
    <w:p w14:paraId="3A8C0B91" w14:textId="618CE099" w:rsidR="009C6A0E" w:rsidRDefault="009C6A0E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Zamora: Sayago, Duero Bajo.</w:t>
      </w:r>
    </w:p>
    <w:p w14:paraId="749135CE" w14:textId="77777777" w:rsidR="0094534A" w:rsidRPr="00B03AED" w:rsidRDefault="0094534A" w:rsidP="0094534A">
      <w:pPr>
        <w:tabs>
          <w:tab w:val="left" w:pos="360"/>
        </w:tabs>
        <w:spacing w:before="0" w:after="0" w:line="360" w:lineRule="auto"/>
        <w:ind w:left="851"/>
        <w:contextualSpacing/>
        <w:rPr>
          <w:i/>
          <w:lang w:val="es-ES" w:eastAsia="es-ES"/>
        </w:rPr>
      </w:pPr>
    </w:p>
    <w:p w14:paraId="29A498D6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Comunidad Autónoma de Extremadura:</w:t>
      </w:r>
    </w:p>
    <w:p w14:paraId="2A881772" w14:textId="77777777" w:rsidR="009C6A0E" w:rsidRPr="00B03AED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>Cáceres: Todas las comarcas.</w:t>
      </w:r>
    </w:p>
    <w:p w14:paraId="69997B93" w14:textId="3F3C4FB5" w:rsidR="009C6A0E" w:rsidRDefault="009C6A0E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  <w:r w:rsidRPr="00B03AED">
        <w:rPr>
          <w:i/>
          <w:lang w:val="es-ES" w:eastAsia="es-ES"/>
        </w:rPr>
        <w:t xml:space="preserve">Badajoz: </w:t>
      </w:r>
      <w:r w:rsidR="006653A0">
        <w:rPr>
          <w:i/>
          <w:lang w:val="es-ES" w:eastAsia="es-ES"/>
        </w:rPr>
        <w:t>Todas las comarcas</w:t>
      </w:r>
      <w:r w:rsidRPr="00B03AED">
        <w:rPr>
          <w:i/>
          <w:lang w:val="es-ES" w:eastAsia="es-ES"/>
        </w:rPr>
        <w:t>.</w:t>
      </w:r>
    </w:p>
    <w:p w14:paraId="2D2E3AA7" w14:textId="77777777" w:rsidR="0094534A" w:rsidRPr="0094534A" w:rsidRDefault="0094534A" w:rsidP="0094534A">
      <w:pPr>
        <w:spacing w:before="0" w:after="0" w:line="360" w:lineRule="auto"/>
        <w:ind w:left="851"/>
        <w:contextualSpacing/>
        <w:rPr>
          <w:i/>
          <w:lang w:val="es-ES" w:eastAsia="es-ES"/>
        </w:rPr>
      </w:pPr>
    </w:p>
    <w:p w14:paraId="402694AA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>Comunidad Autónoma de la Rioja: Todas las comarcas.</w:t>
      </w:r>
    </w:p>
    <w:p w14:paraId="23220491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</w:p>
    <w:p w14:paraId="6B15FB1A" w14:textId="77777777" w:rsidR="009C6A0E" w:rsidRPr="00B03AED" w:rsidRDefault="009C6A0E" w:rsidP="0094534A">
      <w:pPr>
        <w:spacing w:before="0" w:after="0" w:line="360" w:lineRule="auto"/>
        <w:contextualSpacing/>
        <w:rPr>
          <w:i/>
          <w:lang w:val="es-ES_tradnl" w:eastAsia="es-ES"/>
        </w:rPr>
      </w:pPr>
      <w:r w:rsidRPr="00B03AED">
        <w:rPr>
          <w:i/>
          <w:lang w:val="es-ES_tradnl" w:eastAsia="es-ES"/>
        </w:rPr>
        <w:t xml:space="preserve">Comunidad Autónoma de Madrid: </w:t>
      </w:r>
    </w:p>
    <w:p w14:paraId="7D011FDA" w14:textId="78E27464" w:rsidR="009C6A0E" w:rsidRPr="00B03AED" w:rsidRDefault="009C6A0E" w:rsidP="0094534A">
      <w:pPr>
        <w:pStyle w:val="Text1"/>
        <w:spacing w:before="0" w:after="0" w:line="360" w:lineRule="auto"/>
        <w:ind w:left="720"/>
        <w:contextualSpacing/>
        <w:rPr>
          <w:i/>
          <w:lang w:val="es-ES"/>
        </w:rPr>
      </w:pPr>
      <w:r w:rsidRPr="00B03AED">
        <w:rPr>
          <w:i/>
          <w:lang w:val="es-ES" w:eastAsia="es-ES"/>
        </w:rPr>
        <w:t xml:space="preserve">Lozoya-Somosierra, Guadarrama, </w:t>
      </w:r>
      <w:r w:rsidR="007A1661" w:rsidRPr="00B03AED">
        <w:rPr>
          <w:i/>
          <w:lang w:val="es-ES" w:eastAsia="es-ES"/>
        </w:rPr>
        <w:t>Área</w:t>
      </w:r>
      <w:r w:rsidRPr="00B03AED">
        <w:rPr>
          <w:i/>
          <w:lang w:val="es-ES" w:eastAsia="es-ES"/>
        </w:rPr>
        <w:t xml:space="preserve"> Metropolitana de Madrid, Sur Occidental.</w:t>
      </w:r>
    </w:p>
    <w:p w14:paraId="2464B0E9" w14:textId="275B84C4" w:rsidR="009C6A0E" w:rsidRPr="00B1655C" w:rsidRDefault="009C6A0E" w:rsidP="0094534A">
      <w:pPr>
        <w:pStyle w:val="Text1"/>
        <w:spacing w:before="0" w:after="0" w:line="360" w:lineRule="auto"/>
        <w:ind w:left="720"/>
        <w:contextualSpacing/>
        <w:rPr>
          <w:lang w:val="es-ES"/>
        </w:rPr>
      </w:pPr>
      <w:r w:rsidRPr="00B1655C">
        <w:rPr>
          <w:lang w:val="es-ES"/>
        </w:rPr>
        <w:t xml:space="preserve"> </w:t>
      </w:r>
    </w:p>
    <w:p w14:paraId="77153732" w14:textId="058F6903" w:rsidR="00364DF6" w:rsidRPr="00364DF6" w:rsidRDefault="00364DF6" w:rsidP="009C6A0E">
      <w:pPr>
        <w:pStyle w:val="Text1"/>
        <w:ind w:left="0"/>
        <w:rPr>
          <w:b/>
          <w:lang w:val="es-ES" w:bidi="es-ES"/>
        </w:rPr>
      </w:pPr>
      <w:r w:rsidRPr="00364DF6">
        <w:rPr>
          <w:b/>
          <w:lang w:val="es-ES" w:bidi="es-ES"/>
        </w:rPr>
        <w:t>Justificación de la modificación</w:t>
      </w:r>
      <w:r w:rsidR="00A5585F">
        <w:rPr>
          <w:b/>
          <w:lang w:val="es-ES" w:bidi="es-ES"/>
        </w:rPr>
        <w:t xml:space="preserve"> introducida</w:t>
      </w:r>
      <w:r w:rsidRPr="00364DF6">
        <w:rPr>
          <w:b/>
          <w:lang w:val="es-ES" w:bidi="es-ES"/>
        </w:rPr>
        <w:t>:</w:t>
      </w:r>
    </w:p>
    <w:p w14:paraId="182A7C0A" w14:textId="3AA85112" w:rsidR="0098020B" w:rsidRDefault="009C6A0E" w:rsidP="009C6A0E">
      <w:pPr>
        <w:spacing w:before="0" w:after="0" w:line="360" w:lineRule="auto"/>
        <w:contextualSpacing/>
        <w:rPr>
          <w:lang w:val="es-ES_tradnl"/>
        </w:rPr>
      </w:pPr>
      <w:r>
        <w:rPr>
          <w:lang w:val="es-ES"/>
        </w:rPr>
        <w:t xml:space="preserve">La modificación supone la equiparación de la zona de producción y de elaboración </w:t>
      </w:r>
      <w:r w:rsidR="00B03AED">
        <w:rPr>
          <w:lang w:val="es-ES"/>
        </w:rPr>
        <w:t xml:space="preserve">y, por tanto, </w:t>
      </w:r>
      <w:r w:rsidR="0098020B">
        <w:rPr>
          <w:lang w:val="es-ES"/>
        </w:rPr>
        <w:t xml:space="preserve">conlleva </w:t>
      </w:r>
      <w:r w:rsidR="00B03AED">
        <w:rPr>
          <w:lang w:val="es-ES"/>
        </w:rPr>
        <w:t xml:space="preserve">la ampliación de la zona </w:t>
      </w:r>
      <w:r w:rsidR="00C65264" w:rsidRPr="00C65264">
        <w:rPr>
          <w:lang w:val="es-ES_tradnl"/>
        </w:rPr>
        <w:t>geográfica</w:t>
      </w:r>
      <w:r w:rsidR="00A5585F">
        <w:rPr>
          <w:lang w:val="es-ES_tradnl"/>
        </w:rPr>
        <w:t xml:space="preserve"> de </w:t>
      </w:r>
      <w:r w:rsidR="00F7106A">
        <w:rPr>
          <w:lang w:val="es-ES_tradnl"/>
        </w:rPr>
        <w:t>elaboración</w:t>
      </w:r>
      <w:r w:rsidR="0098020B">
        <w:rPr>
          <w:lang w:val="es-ES_tradnl"/>
        </w:rPr>
        <w:t xml:space="preserve"> </w:t>
      </w:r>
      <w:r w:rsidR="0098020B">
        <w:rPr>
          <w:lang w:val="es-ES"/>
        </w:rPr>
        <w:t xml:space="preserve">a </w:t>
      </w:r>
      <w:r w:rsidR="0098020B" w:rsidRPr="0098020B">
        <w:rPr>
          <w:lang w:val="es-ES"/>
        </w:rPr>
        <w:t>las Comarcas Agrarias, agrupadas por provincias y Comunidades Autónomas, que se relacionan a continuación</w:t>
      </w:r>
      <w:r w:rsidR="00B03AED" w:rsidRPr="00B03AED">
        <w:rPr>
          <w:lang w:val="es-ES_tradnl"/>
        </w:rPr>
        <w:t>:</w:t>
      </w:r>
      <w:r w:rsidR="0098020B">
        <w:rPr>
          <w:lang w:val="es-ES_tradnl"/>
        </w:rPr>
        <w:t xml:space="preserve"> </w:t>
      </w:r>
    </w:p>
    <w:p w14:paraId="0041471F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Comunidad Autónoma de Andalucía:</w:t>
      </w:r>
    </w:p>
    <w:p w14:paraId="63521799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Córdoba: las comarcas de Pedroches, La Sierra y Campiña Baja</w:t>
      </w:r>
    </w:p>
    <w:p w14:paraId="5F603048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Huelva: Sierra.</w:t>
      </w:r>
    </w:p>
    <w:p w14:paraId="0829315F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Jaén: Sierra Morena.</w:t>
      </w:r>
    </w:p>
    <w:p w14:paraId="2F57BC9D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Sevilla: Sierra Norte.</w:t>
      </w:r>
    </w:p>
    <w:p w14:paraId="53EBA83A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</w:p>
    <w:p w14:paraId="12A1A711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Comunidad Autónoma de Aragón:</w:t>
      </w:r>
    </w:p>
    <w:p w14:paraId="5E930387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Teruel: Serranía de Albarracín, Maestrazgo.</w:t>
      </w:r>
    </w:p>
    <w:p w14:paraId="48FB2F67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Comunidad Autónoma de Castilla-La Mancha:</w:t>
      </w:r>
    </w:p>
    <w:p w14:paraId="675668B1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Ciudad Real: Montes Norte, Campo de Calatrava, Montes Sur, Pastos.</w:t>
      </w:r>
    </w:p>
    <w:p w14:paraId="78FB4C2D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Guadalajara: todas las comarcas.</w:t>
      </w:r>
    </w:p>
    <w:p w14:paraId="5BA6608B" w14:textId="0620CB53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Toledo: Talavera, Torrijos, Sagra</w:t>
      </w:r>
      <w:r w:rsidR="00FA0660">
        <w:rPr>
          <w:rFonts w:eastAsia="Calibri"/>
          <w:sz w:val="20"/>
          <w:szCs w:val="20"/>
          <w:lang w:val="es-ES" w:eastAsia="en-US"/>
        </w:rPr>
        <w:t>-</w:t>
      </w:r>
      <w:r w:rsidRPr="00251529">
        <w:rPr>
          <w:rFonts w:eastAsia="Calibri"/>
          <w:sz w:val="20"/>
          <w:szCs w:val="20"/>
          <w:lang w:val="es-ES" w:eastAsia="en-US"/>
        </w:rPr>
        <w:t>Toledo, La Jara, Montes de Nava</w:t>
      </w:r>
      <w:r w:rsidR="00FA0660">
        <w:rPr>
          <w:rFonts w:eastAsia="Calibri"/>
          <w:sz w:val="20"/>
          <w:szCs w:val="20"/>
          <w:lang w:val="es-ES" w:eastAsia="en-US"/>
        </w:rPr>
        <w:t>h</w:t>
      </w:r>
      <w:r w:rsidRPr="00251529">
        <w:rPr>
          <w:rFonts w:eastAsia="Calibri"/>
          <w:sz w:val="20"/>
          <w:szCs w:val="20"/>
          <w:lang w:val="es-ES" w:eastAsia="en-US"/>
        </w:rPr>
        <w:t>ermosa, Montes de los Yébenes.</w:t>
      </w:r>
    </w:p>
    <w:p w14:paraId="18D29AA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trike/>
          <w:sz w:val="20"/>
          <w:szCs w:val="20"/>
          <w:lang w:val="es-ES" w:eastAsia="en-US"/>
        </w:rPr>
      </w:pPr>
    </w:p>
    <w:p w14:paraId="4EFEC26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Comunidad Autónoma de Castilla y León:</w:t>
      </w:r>
    </w:p>
    <w:p w14:paraId="5743E704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Burgos: Demanda.</w:t>
      </w:r>
    </w:p>
    <w:p w14:paraId="63025EBD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León: La Montaña de Riaño, Sahagún.</w:t>
      </w:r>
    </w:p>
    <w:p w14:paraId="6CF97424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Palencia: Guardo, Cervera.</w:t>
      </w:r>
    </w:p>
    <w:p w14:paraId="07DB6304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Soria: Pinares.</w:t>
      </w:r>
    </w:p>
    <w:p w14:paraId="6A70BE7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Zamora: Sayago, Duero Bajo.</w:t>
      </w:r>
    </w:p>
    <w:p w14:paraId="0246C74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</w:p>
    <w:p w14:paraId="70569FB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Comunidad Autónoma de Extremadura:</w:t>
      </w:r>
    </w:p>
    <w:p w14:paraId="4639210B" w14:textId="2657C050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Cáceres: todas las comarcas</w:t>
      </w:r>
      <w:r>
        <w:rPr>
          <w:rFonts w:eastAsia="Calibri"/>
          <w:sz w:val="20"/>
          <w:szCs w:val="20"/>
          <w:lang w:val="es-ES" w:eastAsia="en-US"/>
        </w:rPr>
        <w:t xml:space="preserve"> (antes solo Cáceres, Trujillo, Brozas, Valencia de Alcántara, Plasencia y Hervás). </w:t>
      </w:r>
      <w:r w:rsidRPr="00251529">
        <w:rPr>
          <w:rFonts w:eastAsia="Calibri"/>
          <w:sz w:val="20"/>
          <w:szCs w:val="20"/>
          <w:lang w:val="es-ES" w:eastAsia="en-US"/>
        </w:rPr>
        <w:t xml:space="preserve"> </w:t>
      </w:r>
    </w:p>
    <w:p w14:paraId="18B58860" w14:textId="4DF6681A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t>Badajoz: todas las comarcas</w:t>
      </w:r>
      <w:r>
        <w:rPr>
          <w:rFonts w:eastAsia="Calibri"/>
          <w:sz w:val="20"/>
          <w:szCs w:val="20"/>
          <w:lang w:val="es-ES" w:eastAsia="en-US"/>
        </w:rPr>
        <w:t xml:space="preserve"> (antes solo Mérida, Badajoz y Olivenza). </w:t>
      </w:r>
      <w:r w:rsidRPr="00251529">
        <w:rPr>
          <w:rFonts w:eastAsia="Calibri"/>
          <w:sz w:val="20"/>
          <w:szCs w:val="20"/>
          <w:lang w:val="es-ES" w:eastAsia="en-US"/>
        </w:rPr>
        <w:t xml:space="preserve"> </w:t>
      </w:r>
    </w:p>
    <w:p w14:paraId="073D9B80" w14:textId="77777777" w:rsidR="00251529" w:rsidRPr="00251529" w:rsidRDefault="00251529" w:rsidP="00251529">
      <w:pPr>
        <w:spacing w:before="0" w:after="0" w:line="360" w:lineRule="auto"/>
        <w:ind w:left="720"/>
        <w:contextualSpacing/>
        <w:jc w:val="left"/>
        <w:rPr>
          <w:rFonts w:eastAsia="Calibri"/>
          <w:sz w:val="20"/>
          <w:szCs w:val="20"/>
          <w:lang w:val="es-ES" w:eastAsia="en-US"/>
        </w:rPr>
      </w:pPr>
      <w:r w:rsidRPr="00251529">
        <w:rPr>
          <w:rFonts w:eastAsia="Calibri"/>
          <w:sz w:val="20"/>
          <w:szCs w:val="20"/>
          <w:lang w:val="es-ES" w:eastAsia="en-US"/>
        </w:rPr>
        <w:lastRenderedPageBreak/>
        <w:t>Comunidad Autónoma de la Rioja: todas las comarcas.</w:t>
      </w:r>
    </w:p>
    <w:p w14:paraId="2B2E2362" w14:textId="036D7E69" w:rsidR="003E5540" w:rsidRPr="00251529" w:rsidRDefault="003E5540" w:rsidP="00251529">
      <w:pPr>
        <w:spacing w:before="0" w:after="0" w:line="360" w:lineRule="auto"/>
        <w:contextualSpacing/>
        <w:rPr>
          <w:lang w:val="es-ES"/>
        </w:rPr>
      </w:pPr>
    </w:p>
    <w:p w14:paraId="6508F730" w14:textId="346E7C1F" w:rsidR="00CD575C" w:rsidRPr="00D07B3A" w:rsidRDefault="00CD575C" w:rsidP="00CD575C">
      <w:pPr>
        <w:spacing w:before="0" w:after="0" w:line="360" w:lineRule="auto"/>
        <w:contextualSpacing/>
        <w:rPr>
          <w:lang w:val="es-ES"/>
        </w:rPr>
      </w:pPr>
      <w:r>
        <w:rPr>
          <w:lang w:val="es-ES"/>
        </w:rPr>
        <w:t xml:space="preserve">Los territorios incorporados presentan características comunes a las comarcas incluidas respecto a aquellas que ya conformaban la zona de </w:t>
      </w:r>
      <w:r w:rsidR="00A357BA">
        <w:rPr>
          <w:lang w:val="es-ES"/>
        </w:rPr>
        <w:t>elabora</w:t>
      </w:r>
      <w:r>
        <w:rPr>
          <w:lang w:val="es-ES"/>
        </w:rPr>
        <w:t>ción prevista en el Pliego de Condiciones.</w:t>
      </w:r>
    </w:p>
    <w:p w14:paraId="4A1B2FE9" w14:textId="77777777" w:rsidR="00A357BA" w:rsidRDefault="00A357BA" w:rsidP="009C6A0E">
      <w:pPr>
        <w:spacing w:before="0" w:after="0" w:line="360" w:lineRule="auto"/>
        <w:contextualSpacing/>
        <w:rPr>
          <w:lang w:val="es-ES"/>
        </w:rPr>
      </w:pPr>
    </w:p>
    <w:p w14:paraId="1D4C3247" w14:textId="77777777" w:rsidR="00A357BA" w:rsidRPr="00A357BA" w:rsidRDefault="00B06691" w:rsidP="00A357BA">
      <w:pPr>
        <w:spacing w:before="0" w:after="0" w:line="360" w:lineRule="auto"/>
        <w:contextualSpacing/>
        <w:rPr>
          <w:lang w:val="es-ES"/>
        </w:rPr>
      </w:pPr>
      <w:r w:rsidRPr="00CD575C">
        <w:rPr>
          <w:lang w:val="es-ES"/>
        </w:rPr>
        <w:t xml:space="preserve">La </w:t>
      </w:r>
      <w:r w:rsidR="000F182F">
        <w:rPr>
          <w:lang w:val="es-ES"/>
        </w:rPr>
        <w:t xml:space="preserve">justificación de la modificación radica en la </w:t>
      </w:r>
      <w:r w:rsidR="00F7106A" w:rsidRPr="00CD575C">
        <w:rPr>
          <w:lang w:val="es-ES"/>
        </w:rPr>
        <w:t xml:space="preserve">necesidad de equiparar la zona de elaboración </w:t>
      </w:r>
      <w:r w:rsidR="000F182F">
        <w:rPr>
          <w:lang w:val="es-ES"/>
        </w:rPr>
        <w:t xml:space="preserve">y </w:t>
      </w:r>
      <w:r w:rsidR="00F7106A" w:rsidRPr="00CD575C">
        <w:rPr>
          <w:lang w:val="es-ES"/>
        </w:rPr>
        <w:t xml:space="preserve">de producción </w:t>
      </w:r>
      <w:r w:rsidR="00FB3050" w:rsidRPr="00CD575C">
        <w:rPr>
          <w:lang w:val="es-ES"/>
        </w:rPr>
        <w:t xml:space="preserve">para </w:t>
      </w:r>
      <w:r w:rsidR="00F7106A" w:rsidRPr="00CD575C">
        <w:rPr>
          <w:lang w:val="es-ES"/>
        </w:rPr>
        <w:t xml:space="preserve">garantizar un sistema de elaboración y producción más </w:t>
      </w:r>
      <w:r w:rsidR="00CD575C">
        <w:rPr>
          <w:lang w:val="es-ES"/>
        </w:rPr>
        <w:t>sostenible y respetuoso con el medio ambiente</w:t>
      </w:r>
      <w:r w:rsidR="00FE5D7C" w:rsidRPr="00CD575C">
        <w:rPr>
          <w:lang w:val="es-ES"/>
        </w:rPr>
        <w:t>.</w:t>
      </w:r>
      <w:r w:rsidR="000F182F" w:rsidRPr="000F182F">
        <w:rPr>
          <w:lang w:val="es-ES"/>
        </w:rPr>
        <w:t xml:space="preserve"> </w:t>
      </w:r>
    </w:p>
    <w:p w14:paraId="755E1BD1" w14:textId="629CC165" w:rsidR="005032CD" w:rsidRDefault="005032CD" w:rsidP="000F182F">
      <w:pPr>
        <w:spacing w:before="0" w:after="0" w:line="360" w:lineRule="auto"/>
        <w:contextualSpacing/>
        <w:rPr>
          <w:lang w:val="es-ES"/>
        </w:rPr>
      </w:pPr>
    </w:p>
    <w:p w14:paraId="46A96906" w14:textId="23D7C715" w:rsidR="000F182F" w:rsidRDefault="00A357BA" w:rsidP="000F182F">
      <w:pPr>
        <w:spacing w:before="0" w:after="0" w:line="360" w:lineRule="auto"/>
        <w:contextualSpacing/>
        <w:rPr>
          <w:lang w:val="es-ES"/>
        </w:rPr>
      </w:pPr>
      <w:r w:rsidRPr="00A357BA">
        <w:rPr>
          <w:lang w:val="es-ES"/>
        </w:rPr>
        <w:t>La elaboración comprende las operaciones de sacrificio, faenado y despiece previo a la expedición de la «Carne de Ávila»</w:t>
      </w:r>
      <w:r>
        <w:rPr>
          <w:lang w:val="es-ES"/>
        </w:rPr>
        <w:t xml:space="preserve">. La modificación propuesta supone la equiparación de la zona de elaboración a la producción, con la consiguiente ampliación de la primera. Ello permitirá que </w:t>
      </w:r>
      <w:r w:rsidR="000F182F">
        <w:rPr>
          <w:lang w:val="es-ES"/>
        </w:rPr>
        <w:t xml:space="preserve">los operadores </w:t>
      </w:r>
      <w:r>
        <w:rPr>
          <w:lang w:val="es-ES"/>
        </w:rPr>
        <w:t xml:space="preserve">puedan </w:t>
      </w:r>
      <w:r w:rsidR="000F182F">
        <w:rPr>
          <w:lang w:val="es-ES"/>
        </w:rPr>
        <w:t>efectuar el sacrificio de los animales</w:t>
      </w:r>
      <w:r>
        <w:rPr>
          <w:lang w:val="es-ES"/>
        </w:rPr>
        <w:t xml:space="preserve"> sin necesidad de transportar los animales de una zona a otra</w:t>
      </w:r>
      <w:r w:rsidR="000F182F">
        <w:rPr>
          <w:lang w:val="es-ES"/>
        </w:rPr>
        <w:t>, con la consiguiente reducción de</w:t>
      </w:r>
      <w:r>
        <w:rPr>
          <w:lang w:val="es-ES"/>
        </w:rPr>
        <w:t xml:space="preserve"> traslados de animales </w:t>
      </w:r>
      <w:r w:rsidR="000F182F">
        <w:rPr>
          <w:lang w:val="es-ES"/>
        </w:rPr>
        <w:t>y, por tanto, de las emisiones de CO</w:t>
      </w:r>
      <w:r w:rsidR="000F182F" w:rsidRPr="00FE5D7C">
        <w:rPr>
          <w:vertAlign w:val="subscript"/>
          <w:lang w:val="es-ES"/>
        </w:rPr>
        <w:t>2</w:t>
      </w:r>
      <w:r w:rsidR="000F182F">
        <w:rPr>
          <w:vertAlign w:val="subscript"/>
          <w:lang w:val="es-ES"/>
        </w:rPr>
        <w:t xml:space="preserve"> </w:t>
      </w:r>
      <w:r w:rsidR="000F182F" w:rsidRPr="00FE5D7C">
        <w:rPr>
          <w:lang w:val="es-ES"/>
        </w:rPr>
        <w:t>en la elaboración del producto</w:t>
      </w:r>
      <w:r w:rsidR="000F182F">
        <w:rPr>
          <w:lang w:val="es-ES"/>
        </w:rPr>
        <w:t xml:space="preserve"> amparado.</w:t>
      </w:r>
      <w:r>
        <w:rPr>
          <w:lang w:val="es-ES"/>
        </w:rPr>
        <w:t xml:space="preserve"> Asimismo, esto permite reducir los costes de los operadores.</w:t>
      </w:r>
    </w:p>
    <w:p w14:paraId="3CB142E4" w14:textId="1ED427EB" w:rsidR="00FE5D7C" w:rsidRDefault="00FE5D7C" w:rsidP="009C6A0E">
      <w:pPr>
        <w:spacing w:before="0" w:after="0" w:line="360" w:lineRule="auto"/>
        <w:contextualSpacing/>
        <w:rPr>
          <w:lang w:val="es-ES"/>
        </w:rPr>
      </w:pPr>
    </w:p>
    <w:p w14:paraId="240103E1" w14:textId="48D497A7" w:rsidR="00A357BA" w:rsidRDefault="00A357BA" w:rsidP="009C6A0E">
      <w:pPr>
        <w:spacing w:before="0" w:after="0" w:line="360" w:lineRule="auto"/>
        <w:contextualSpacing/>
        <w:rPr>
          <w:lang w:val="es-ES"/>
        </w:rPr>
      </w:pPr>
      <w:r>
        <w:rPr>
          <w:lang w:val="es-ES"/>
        </w:rPr>
        <w:t>L</w:t>
      </w:r>
      <w:r w:rsidR="00CD575C">
        <w:rPr>
          <w:lang w:val="es-ES"/>
        </w:rPr>
        <w:t xml:space="preserve">a modificación propuesta </w:t>
      </w:r>
      <w:r w:rsidR="00CD575C" w:rsidRPr="00CD575C">
        <w:rPr>
          <w:lang w:val="es-ES"/>
        </w:rPr>
        <w:t xml:space="preserve">contribuye a </w:t>
      </w:r>
      <w:r>
        <w:rPr>
          <w:lang w:val="es-ES"/>
        </w:rPr>
        <w:t xml:space="preserve">la mejora del desarrollo rural, de la remuneración de los operadores y a </w:t>
      </w:r>
      <w:r w:rsidR="00CD575C" w:rsidRPr="00CD575C">
        <w:rPr>
          <w:lang w:val="es-ES"/>
        </w:rPr>
        <w:t>la realización de los objetivos de desarrollo sostenible</w:t>
      </w:r>
      <w:r w:rsidR="00CD575C">
        <w:rPr>
          <w:lang w:val="es-ES"/>
        </w:rPr>
        <w:t xml:space="preserve"> </w:t>
      </w:r>
      <w:r w:rsidR="00CD575C" w:rsidRPr="00CD575C">
        <w:rPr>
          <w:lang w:val="es-ES"/>
        </w:rPr>
        <w:t>de la futura política agrícola común (PAC)</w:t>
      </w:r>
      <w:r w:rsidR="000F182F">
        <w:rPr>
          <w:lang w:val="es-ES"/>
        </w:rPr>
        <w:t xml:space="preserve"> de la Unión</w:t>
      </w:r>
      <w:r w:rsidR="00CD575C">
        <w:rPr>
          <w:lang w:val="es-ES"/>
        </w:rPr>
        <w:t xml:space="preserve">, establecidos para </w:t>
      </w:r>
      <w:r w:rsidR="00CD575C" w:rsidRPr="00CD575C">
        <w:rPr>
          <w:lang w:val="es-ES"/>
        </w:rPr>
        <w:t>después de 2020</w:t>
      </w:r>
      <w:r w:rsidR="000F182F">
        <w:rPr>
          <w:lang w:val="es-ES"/>
        </w:rPr>
        <w:t xml:space="preserve"> </w:t>
      </w:r>
      <w:r w:rsidR="00CD575C">
        <w:rPr>
          <w:lang w:val="es-ES"/>
        </w:rPr>
        <w:t>en l</w:t>
      </w:r>
      <w:r w:rsidR="00CD575C" w:rsidRPr="00CD575C">
        <w:rPr>
          <w:lang w:val="es-ES"/>
        </w:rPr>
        <w:t>a Comunicación de la Comisión</w:t>
      </w:r>
      <w:r>
        <w:rPr>
          <w:lang w:val="es-ES"/>
        </w:rPr>
        <w:t>,</w:t>
      </w:r>
      <w:r w:rsidR="00CD575C" w:rsidRPr="00CD575C">
        <w:rPr>
          <w:lang w:val="es-ES"/>
        </w:rPr>
        <w:t xml:space="preserve"> de 29 de noviembre de 2017</w:t>
      </w:r>
      <w:r>
        <w:rPr>
          <w:lang w:val="es-ES"/>
        </w:rPr>
        <w:t xml:space="preserve">, </w:t>
      </w:r>
      <w:r w:rsidR="00CD575C" w:rsidRPr="00CD575C">
        <w:rPr>
          <w:lang w:val="es-ES"/>
        </w:rPr>
        <w:t xml:space="preserve">titulada «El futuro de los alimentos y de la agricultura». </w:t>
      </w:r>
      <w:r w:rsidR="00493E19">
        <w:rPr>
          <w:lang w:val="es-ES"/>
        </w:rPr>
        <w:t>Entre dichos</w:t>
      </w:r>
      <w:r w:rsidR="00CD575C" w:rsidRPr="00CD575C">
        <w:rPr>
          <w:lang w:val="es-ES"/>
        </w:rPr>
        <w:t xml:space="preserve"> objetivos </w:t>
      </w:r>
      <w:r w:rsidR="00493E19">
        <w:rPr>
          <w:lang w:val="es-ES"/>
        </w:rPr>
        <w:t xml:space="preserve">se </w:t>
      </w:r>
      <w:r w:rsidR="00CD575C" w:rsidRPr="00CD575C">
        <w:rPr>
          <w:lang w:val="es-ES"/>
        </w:rPr>
        <w:t xml:space="preserve">incluye la modernización y la sostenibilidad, incluida la sostenibilidad económica, social, medioambiental y climática de las zonas agrícolas, silvícolas y rurales, y </w:t>
      </w:r>
      <w:r w:rsidR="00493E19">
        <w:rPr>
          <w:lang w:val="es-ES"/>
        </w:rPr>
        <w:t xml:space="preserve">que </w:t>
      </w:r>
      <w:r w:rsidR="00CD575C" w:rsidRPr="00CD575C">
        <w:rPr>
          <w:lang w:val="es-ES"/>
        </w:rPr>
        <w:t>se contribuya a reducir la carga administrativa que supone para los beneficiarios la legislación de la Unión.</w:t>
      </w:r>
      <w:r w:rsidR="00CD575C">
        <w:rPr>
          <w:lang w:val="es-ES"/>
        </w:rPr>
        <w:t xml:space="preserve"> </w:t>
      </w:r>
    </w:p>
    <w:p w14:paraId="24BB9145" w14:textId="77777777" w:rsidR="00A357BA" w:rsidRDefault="00A357BA" w:rsidP="009C6A0E">
      <w:pPr>
        <w:spacing w:before="0" w:after="0" w:line="360" w:lineRule="auto"/>
        <w:contextualSpacing/>
        <w:rPr>
          <w:lang w:val="es-ES"/>
        </w:rPr>
      </w:pPr>
    </w:p>
    <w:p w14:paraId="4C0C2788" w14:textId="6549CCA8" w:rsidR="00CD575C" w:rsidRDefault="00A357BA" w:rsidP="009C6A0E">
      <w:pPr>
        <w:spacing w:before="0" w:after="0" w:line="360" w:lineRule="auto"/>
        <w:contextualSpacing/>
        <w:rPr>
          <w:lang w:val="es-ES"/>
        </w:rPr>
      </w:pPr>
      <w:r>
        <w:rPr>
          <w:lang w:val="es-ES"/>
        </w:rPr>
        <w:t>En último término, l</w:t>
      </w:r>
      <w:r w:rsidR="00CD575C">
        <w:rPr>
          <w:lang w:val="es-ES"/>
        </w:rPr>
        <w:t xml:space="preserve">a citada Comunicación </w:t>
      </w:r>
      <w:r>
        <w:rPr>
          <w:lang w:val="es-ES"/>
        </w:rPr>
        <w:t xml:space="preserve">y los </w:t>
      </w:r>
      <w:r w:rsidR="00AF7D7F">
        <w:rPr>
          <w:lang w:val="es-ES"/>
        </w:rPr>
        <w:t xml:space="preserve">citados </w:t>
      </w:r>
      <w:r>
        <w:rPr>
          <w:lang w:val="es-ES"/>
        </w:rPr>
        <w:t xml:space="preserve">objetivos </w:t>
      </w:r>
      <w:r w:rsidR="000F182F">
        <w:rPr>
          <w:lang w:val="es-ES"/>
        </w:rPr>
        <w:t>ha</w:t>
      </w:r>
      <w:r w:rsidR="00AF7D7F">
        <w:rPr>
          <w:lang w:val="es-ES"/>
        </w:rPr>
        <w:t>n</w:t>
      </w:r>
      <w:r w:rsidR="000F182F">
        <w:rPr>
          <w:lang w:val="es-ES"/>
        </w:rPr>
        <w:t xml:space="preserve"> llevado a la adopción d</w:t>
      </w:r>
      <w:r w:rsidR="00CD575C">
        <w:rPr>
          <w:lang w:val="es-ES"/>
        </w:rPr>
        <w:t>el «</w:t>
      </w:r>
      <w:r w:rsidR="00CD575C" w:rsidRPr="00CD575C">
        <w:rPr>
          <w:lang w:val="es-ES"/>
        </w:rPr>
        <w:t xml:space="preserve">Reglamento (UE) 2021/2117 de 2 de diciembre de 2021 que modifica los Reglamentos (UE) </w:t>
      </w:r>
      <w:r w:rsidR="00CD575C">
        <w:rPr>
          <w:lang w:val="es-ES"/>
        </w:rPr>
        <w:t xml:space="preserve">nº </w:t>
      </w:r>
      <w:r w:rsidR="00CD575C" w:rsidRPr="00CD575C">
        <w:rPr>
          <w:lang w:val="es-ES"/>
        </w:rPr>
        <w:t xml:space="preserve">1308/2013, (UE) </w:t>
      </w:r>
      <w:r w:rsidR="00CD575C">
        <w:rPr>
          <w:lang w:val="es-ES"/>
        </w:rPr>
        <w:t>nº</w:t>
      </w:r>
      <w:r w:rsidR="00CD575C" w:rsidRPr="00CD575C">
        <w:rPr>
          <w:lang w:val="es-ES"/>
        </w:rPr>
        <w:t xml:space="preserve"> 1151/2012</w:t>
      </w:r>
      <w:r w:rsidR="00CD575C">
        <w:rPr>
          <w:lang w:val="es-ES"/>
        </w:rPr>
        <w:t>,</w:t>
      </w:r>
      <w:r w:rsidR="00CD575C" w:rsidRPr="00CD575C">
        <w:rPr>
          <w:lang w:val="es-ES"/>
        </w:rPr>
        <w:t xml:space="preserve"> (UE) n</w:t>
      </w:r>
      <w:r w:rsidR="00CD575C">
        <w:rPr>
          <w:lang w:val="es-ES"/>
        </w:rPr>
        <w:t>º</w:t>
      </w:r>
      <w:r w:rsidR="00CD575C" w:rsidRPr="00CD575C">
        <w:rPr>
          <w:lang w:val="es-ES"/>
        </w:rPr>
        <w:t xml:space="preserve"> 251/2014 y (UE) n</w:t>
      </w:r>
      <w:r w:rsidR="00CD575C">
        <w:rPr>
          <w:lang w:val="es-ES"/>
        </w:rPr>
        <w:t>º</w:t>
      </w:r>
      <w:r w:rsidR="00CD575C" w:rsidRPr="00CD575C">
        <w:rPr>
          <w:lang w:val="es-ES"/>
        </w:rPr>
        <w:t xml:space="preserve"> 228/2013</w:t>
      </w:r>
      <w:r w:rsidR="00CD575C">
        <w:rPr>
          <w:lang w:val="es-ES"/>
        </w:rPr>
        <w:t xml:space="preserve">», </w:t>
      </w:r>
      <w:r w:rsidR="000F182F">
        <w:rPr>
          <w:lang w:val="es-ES"/>
        </w:rPr>
        <w:t xml:space="preserve">el cual ha introducido en el Reglamento (UE) nº 1151/2012 </w:t>
      </w:r>
      <w:r w:rsidR="00CD575C">
        <w:rPr>
          <w:lang w:val="es-ES"/>
        </w:rPr>
        <w:t xml:space="preserve">previsiones </w:t>
      </w:r>
      <w:r w:rsidR="000F182F">
        <w:rPr>
          <w:lang w:val="es-ES"/>
        </w:rPr>
        <w:t xml:space="preserve">encaminadas a </w:t>
      </w:r>
      <w:r w:rsidR="00CD575C">
        <w:rPr>
          <w:lang w:val="es-ES"/>
        </w:rPr>
        <w:t>garantizar una mayor</w:t>
      </w:r>
      <w:r w:rsidR="000F182F">
        <w:rPr>
          <w:lang w:val="es-ES"/>
        </w:rPr>
        <w:t xml:space="preserve"> sostenibilidad de los sistemas de producción de estas figuras de calidad</w:t>
      </w:r>
      <w:r w:rsidR="00CD575C">
        <w:rPr>
          <w:lang w:val="es-ES"/>
        </w:rPr>
        <w:t>.</w:t>
      </w:r>
    </w:p>
    <w:p w14:paraId="72520F3F" w14:textId="3932BD20" w:rsidR="00CD575C" w:rsidRDefault="00CD575C" w:rsidP="00CD575C">
      <w:pPr>
        <w:spacing w:before="0" w:after="0" w:line="360" w:lineRule="auto"/>
        <w:contextualSpacing/>
        <w:rPr>
          <w:lang w:val="es-ES"/>
        </w:rPr>
      </w:pPr>
    </w:p>
    <w:p w14:paraId="6A8E416D" w14:textId="21AB107F" w:rsidR="005032CD" w:rsidRDefault="005032CD" w:rsidP="00CD575C">
      <w:pPr>
        <w:spacing w:before="0" w:after="0" w:line="360" w:lineRule="auto"/>
        <w:contextualSpacing/>
        <w:rPr>
          <w:lang w:val="es-ES"/>
        </w:rPr>
      </w:pPr>
    </w:p>
    <w:p w14:paraId="48BD967A" w14:textId="05209412" w:rsidR="00CD575C" w:rsidRPr="000F182F" w:rsidRDefault="00CD575C" w:rsidP="00CD575C">
      <w:pPr>
        <w:spacing w:before="0" w:after="0" w:line="360" w:lineRule="auto"/>
        <w:contextualSpacing/>
        <w:rPr>
          <w:b/>
          <w:lang w:val="es-ES"/>
        </w:rPr>
      </w:pPr>
      <w:r w:rsidRPr="000F182F">
        <w:rPr>
          <w:b/>
          <w:lang w:val="es-ES"/>
        </w:rPr>
        <w:lastRenderedPageBreak/>
        <w:t>Carácter normal de la modificación, en el sentido del artículo 53, apartado 2, párrafos tercero o cuarto, del Reglamento (UE) n</w:t>
      </w:r>
      <w:r w:rsidR="000F182F">
        <w:rPr>
          <w:b/>
          <w:lang w:val="es-ES"/>
        </w:rPr>
        <w:t xml:space="preserve">º </w:t>
      </w:r>
      <w:r w:rsidRPr="000F182F">
        <w:rPr>
          <w:b/>
          <w:lang w:val="es-ES"/>
        </w:rPr>
        <w:t>1151/2012 de la modificación.</w:t>
      </w:r>
    </w:p>
    <w:p w14:paraId="2C42AB2D" w14:textId="77777777" w:rsidR="00CD575C" w:rsidRPr="00CD575C" w:rsidRDefault="00CD575C" w:rsidP="00CD575C">
      <w:pPr>
        <w:spacing w:before="0" w:after="0" w:line="360" w:lineRule="auto"/>
        <w:contextualSpacing/>
        <w:rPr>
          <w:lang w:val="es-ES"/>
        </w:rPr>
      </w:pPr>
    </w:p>
    <w:p w14:paraId="14ADA38F" w14:textId="77777777" w:rsidR="00CD575C" w:rsidRPr="00CD575C" w:rsidRDefault="00CD575C" w:rsidP="00CD575C">
      <w:pPr>
        <w:spacing w:before="0" w:after="0" w:line="360" w:lineRule="auto"/>
        <w:contextualSpacing/>
        <w:rPr>
          <w:lang w:val="es-ES"/>
        </w:rPr>
      </w:pPr>
      <w:r w:rsidRPr="00CD575C">
        <w:rPr>
          <w:lang w:val="es-ES"/>
        </w:rPr>
        <w:t>La modificación propuesta ha de considerarse normal a tenor de lo previsto en el artículo 53, apartado 2, del Reglamento (UE) nº 1151/2012, en tanto no incluye un cambio en el nombre de la indicación geográfica protegida o en el uso de ese nombre; no corre el riesgo de anular el vínculo a que se refiere el artículo 5, apartado 2, letra b), en el caso de las indicaciones geográficas protegidas; y no implica nuevas restricciones a la comercialización del producto.</w:t>
      </w:r>
    </w:p>
    <w:p w14:paraId="51253A6A" w14:textId="77777777" w:rsidR="00CD575C" w:rsidRPr="00CD575C" w:rsidRDefault="00CD575C" w:rsidP="00CD575C">
      <w:pPr>
        <w:spacing w:before="0" w:after="0" w:line="360" w:lineRule="auto"/>
        <w:contextualSpacing/>
        <w:rPr>
          <w:lang w:val="es-ES"/>
        </w:rPr>
      </w:pPr>
    </w:p>
    <w:p w14:paraId="1C3EC236" w14:textId="0F7441E5" w:rsidR="00CD575C" w:rsidRPr="000F182F" w:rsidRDefault="000F182F" w:rsidP="00CD575C">
      <w:pPr>
        <w:spacing w:before="0" w:after="0" w:line="360" w:lineRule="auto"/>
        <w:contextualSpacing/>
        <w:rPr>
          <w:b/>
          <w:lang w:val="es-ES"/>
        </w:rPr>
      </w:pPr>
      <w:r w:rsidRPr="000F182F">
        <w:rPr>
          <w:b/>
          <w:lang w:val="es-ES"/>
        </w:rPr>
        <w:t>6</w:t>
      </w:r>
      <w:r w:rsidR="00CD575C" w:rsidRPr="000F182F">
        <w:rPr>
          <w:b/>
          <w:lang w:val="es-ES"/>
        </w:rPr>
        <w:t xml:space="preserve">. </w:t>
      </w:r>
      <w:r w:rsidRPr="000F182F">
        <w:rPr>
          <w:b/>
          <w:lang w:val="es-ES"/>
        </w:rPr>
        <w:t xml:space="preserve">PLIEGO DE CONDICIONES ACTUALIZADO </w:t>
      </w:r>
    </w:p>
    <w:p w14:paraId="7EA7746F" w14:textId="2EAD52F5" w:rsidR="00CD575C" w:rsidRDefault="00CD575C" w:rsidP="00CD575C">
      <w:pPr>
        <w:spacing w:before="0" w:after="0" w:line="360" w:lineRule="auto"/>
        <w:contextualSpacing/>
        <w:rPr>
          <w:lang w:val="es-ES"/>
        </w:rPr>
      </w:pPr>
      <w:r w:rsidRPr="00CD575C">
        <w:rPr>
          <w:lang w:val="es-ES"/>
        </w:rPr>
        <w:t xml:space="preserve"> [Link al pliego actualizado]</w:t>
      </w:r>
    </w:p>
    <w:sectPr w:rsidR="00CD575C" w:rsidSect="00434BD2">
      <w:headerReference w:type="default" r:id="rId8"/>
      <w:footerReference w:type="defaul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8B46" w14:textId="77777777" w:rsidR="00B65E32" w:rsidRDefault="00B65E32">
      <w:r>
        <w:separator/>
      </w:r>
    </w:p>
  </w:endnote>
  <w:endnote w:type="continuationSeparator" w:id="0">
    <w:p w14:paraId="44891892" w14:textId="77777777" w:rsidR="00B65E32" w:rsidRDefault="00B65E32">
      <w:r>
        <w:continuationSeparator/>
      </w:r>
    </w:p>
  </w:endnote>
  <w:endnote w:type="continuationNotice" w:id="1">
    <w:p w14:paraId="0AB02B57" w14:textId="77777777" w:rsidR="00B65E32" w:rsidRDefault="00B65E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4368" w14:textId="1493EDA7" w:rsidR="00687217" w:rsidRPr="00AB2710" w:rsidRDefault="00687217" w:rsidP="00434BD2">
    <w:pPr>
      <w:pStyle w:val="Piedepgina"/>
    </w:pPr>
    <w:r w:rsidRPr="00AB2710">
      <w:tab/>
    </w:r>
    <w:r>
      <w:fldChar w:fldCharType="begin"/>
    </w:r>
    <w:r>
      <w:instrText xml:space="preserve"> PAGE  \* MERGEFORMAT </w:instrText>
    </w:r>
    <w:r>
      <w:fldChar w:fldCharType="separate"/>
    </w:r>
    <w:r w:rsidR="00125EC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9B83" w14:textId="77777777" w:rsidR="00B65E32" w:rsidRDefault="00B65E32">
      <w:r>
        <w:separator/>
      </w:r>
    </w:p>
  </w:footnote>
  <w:footnote w:type="continuationSeparator" w:id="0">
    <w:p w14:paraId="7070BC37" w14:textId="77777777" w:rsidR="00B65E32" w:rsidRDefault="00B65E32">
      <w:r>
        <w:continuationSeparator/>
      </w:r>
    </w:p>
  </w:footnote>
  <w:footnote w:type="continuationNotice" w:id="1">
    <w:p w14:paraId="5E9732AE" w14:textId="77777777" w:rsidR="00B65E32" w:rsidRDefault="00B65E3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40B" w14:textId="77777777" w:rsidR="00EC7F32" w:rsidRDefault="00EC7F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548C7"/>
    <w:multiLevelType w:val="multilevel"/>
    <w:tmpl w:val="9E3A8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23B7D"/>
    <w:multiLevelType w:val="hybridMultilevel"/>
    <w:tmpl w:val="E01663C8"/>
    <w:lvl w:ilvl="0" w:tplc="1D0840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A48"/>
    <w:multiLevelType w:val="hybridMultilevel"/>
    <w:tmpl w:val="46EA0BC4"/>
    <w:lvl w:ilvl="0" w:tplc="0C0A0011">
      <w:start w:val="1"/>
      <w:numFmt w:val="decimal"/>
      <w:lvlText w:val="%1)"/>
      <w:lvlJc w:val="left"/>
      <w:pPr>
        <w:ind w:left="1544" w:hanging="360"/>
      </w:pPr>
    </w:lvl>
    <w:lvl w:ilvl="1" w:tplc="0C0A0019">
      <w:start w:val="1"/>
      <w:numFmt w:val="lowerLetter"/>
      <w:lvlText w:val="%2."/>
      <w:lvlJc w:val="left"/>
      <w:pPr>
        <w:ind w:left="2264" w:hanging="360"/>
      </w:pPr>
    </w:lvl>
    <w:lvl w:ilvl="2" w:tplc="0C0A001B">
      <w:start w:val="1"/>
      <w:numFmt w:val="lowerRoman"/>
      <w:lvlText w:val="%3."/>
      <w:lvlJc w:val="right"/>
      <w:pPr>
        <w:ind w:left="2984" w:hanging="180"/>
      </w:pPr>
    </w:lvl>
    <w:lvl w:ilvl="3" w:tplc="0C0A000F">
      <w:start w:val="1"/>
      <w:numFmt w:val="decimal"/>
      <w:lvlText w:val="%4."/>
      <w:lvlJc w:val="left"/>
      <w:pPr>
        <w:ind w:left="3704" w:hanging="360"/>
      </w:pPr>
    </w:lvl>
    <w:lvl w:ilvl="4" w:tplc="0C0A0019">
      <w:start w:val="1"/>
      <w:numFmt w:val="lowerLetter"/>
      <w:lvlText w:val="%5."/>
      <w:lvlJc w:val="left"/>
      <w:pPr>
        <w:ind w:left="4424" w:hanging="360"/>
      </w:pPr>
    </w:lvl>
    <w:lvl w:ilvl="5" w:tplc="0C0A001B">
      <w:start w:val="1"/>
      <w:numFmt w:val="lowerRoman"/>
      <w:lvlText w:val="%6."/>
      <w:lvlJc w:val="right"/>
      <w:pPr>
        <w:ind w:left="5144" w:hanging="180"/>
      </w:pPr>
    </w:lvl>
    <w:lvl w:ilvl="6" w:tplc="0C0A000F">
      <w:start w:val="1"/>
      <w:numFmt w:val="decimal"/>
      <w:lvlText w:val="%7."/>
      <w:lvlJc w:val="left"/>
      <w:pPr>
        <w:ind w:left="5864" w:hanging="360"/>
      </w:pPr>
    </w:lvl>
    <w:lvl w:ilvl="7" w:tplc="0C0A0019">
      <w:start w:val="1"/>
      <w:numFmt w:val="lowerLetter"/>
      <w:lvlText w:val="%8."/>
      <w:lvlJc w:val="left"/>
      <w:pPr>
        <w:ind w:left="6584" w:hanging="360"/>
      </w:pPr>
    </w:lvl>
    <w:lvl w:ilvl="8" w:tplc="0C0A001B">
      <w:start w:val="1"/>
      <w:numFmt w:val="lowerRoman"/>
      <w:lvlText w:val="%9."/>
      <w:lvlJc w:val="right"/>
      <w:pPr>
        <w:ind w:left="7304" w:hanging="180"/>
      </w:pPr>
    </w:lvl>
  </w:abstractNum>
  <w:abstractNum w:abstractNumId="4" w15:restartNumberingAfterBreak="0">
    <w:nsid w:val="2B3D0A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CB74B4"/>
    <w:multiLevelType w:val="multilevel"/>
    <w:tmpl w:val="E67CE90A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2A8042C"/>
    <w:multiLevelType w:val="singleLevel"/>
    <w:tmpl w:val="CCF20C06"/>
    <w:name w:val="List Number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 w15:restartNumberingAfterBreak="0">
    <w:nsid w:val="63AA360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723412">
    <w:abstractNumId w:val="5"/>
  </w:num>
  <w:num w:numId="2" w16cid:durableId="1081298642">
    <w:abstractNumId w:val="6"/>
  </w:num>
  <w:num w:numId="3" w16cid:durableId="217786049">
    <w:abstractNumId w:val="0"/>
  </w:num>
  <w:num w:numId="4" w16cid:durableId="631524874">
    <w:abstractNumId w:val="7"/>
  </w:num>
  <w:num w:numId="5" w16cid:durableId="95752882">
    <w:abstractNumId w:val="1"/>
  </w:num>
  <w:num w:numId="6" w16cid:durableId="1021276672">
    <w:abstractNumId w:val="4"/>
  </w:num>
  <w:num w:numId="7" w16cid:durableId="191523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453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B2710"/>
    <w:rsid w:val="00000AD8"/>
    <w:rsid w:val="00000E35"/>
    <w:rsid w:val="00001DCC"/>
    <w:rsid w:val="00001DD6"/>
    <w:rsid w:val="00001DDC"/>
    <w:rsid w:val="0000268F"/>
    <w:rsid w:val="00002A62"/>
    <w:rsid w:val="00002C70"/>
    <w:rsid w:val="0000572E"/>
    <w:rsid w:val="00005DDF"/>
    <w:rsid w:val="00006B10"/>
    <w:rsid w:val="00007A5C"/>
    <w:rsid w:val="0001109D"/>
    <w:rsid w:val="000113D0"/>
    <w:rsid w:val="00011C6D"/>
    <w:rsid w:val="000125E0"/>
    <w:rsid w:val="00012912"/>
    <w:rsid w:val="0001402D"/>
    <w:rsid w:val="0001445A"/>
    <w:rsid w:val="00014AB1"/>
    <w:rsid w:val="00014B5F"/>
    <w:rsid w:val="00014EDC"/>
    <w:rsid w:val="0001548F"/>
    <w:rsid w:val="00015C60"/>
    <w:rsid w:val="00016CC2"/>
    <w:rsid w:val="00017E39"/>
    <w:rsid w:val="000209DD"/>
    <w:rsid w:val="00020EEB"/>
    <w:rsid w:val="000212B3"/>
    <w:rsid w:val="00021E5A"/>
    <w:rsid w:val="0002216B"/>
    <w:rsid w:val="00022D35"/>
    <w:rsid w:val="00023F1B"/>
    <w:rsid w:val="00024149"/>
    <w:rsid w:val="000244B2"/>
    <w:rsid w:val="00024645"/>
    <w:rsid w:val="00026A68"/>
    <w:rsid w:val="00026C8A"/>
    <w:rsid w:val="00027821"/>
    <w:rsid w:val="00030376"/>
    <w:rsid w:val="00031FE6"/>
    <w:rsid w:val="0003290E"/>
    <w:rsid w:val="00033924"/>
    <w:rsid w:val="00034B4D"/>
    <w:rsid w:val="00034CCA"/>
    <w:rsid w:val="00035312"/>
    <w:rsid w:val="00036108"/>
    <w:rsid w:val="00036707"/>
    <w:rsid w:val="000401A5"/>
    <w:rsid w:val="00040A52"/>
    <w:rsid w:val="00040D16"/>
    <w:rsid w:val="00041545"/>
    <w:rsid w:val="000415D5"/>
    <w:rsid w:val="000419B0"/>
    <w:rsid w:val="00041C39"/>
    <w:rsid w:val="00042F9F"/>
    <w:rsid w:val="000441B7"/>
    <w:rsid w:val="0004533B"/>
    <w:rsid w:val="00046753"/>
    <w:rsid w:val="000467B2"/>
    <w:rsid w:val="00046984"/>
    <w:rsid w:val="00050E84"/>
    <w:rsid w:val="0005109E"/>
    <w:rsid w:val="000513D0"/>
    <w:rsid w:val="00052169"/>
    <w:rsid w:val="000521D1"/>
    <w:rsid w:val="00052D09"/>
    <w:rsid w:val="0005339B"/>
    <w:rsid w:val="0005470E"/>
    <w:rsid w:val="00057150"/>
    <w:rsid w:val="00057D08"/>
    <w:rsid w:val="00057EF4"/>
    <w:rsid w:val="00060421"/>
    <w:rsid w:val="0006159B"/>
    <w:rsid w:val="00062E69"/>
    <w:rsid w:val="00064187"/>
    <w:rsid w:val="000645CC"/>
    <w:rsid w:val="00064DC8"/>
    <w:rsid w:val="000655E6"/>
    <w:rsid w:val="0006580A"/>
    <w:rsid w:val="00065B8A"/>
    <w:rsid w:val="000717D7"/>
    <w:rsid w:val="0007208C"/>
    <w:rsid w:val="00072893"/>
    <w:rsid w:val="0007361B"/>
    <w:rsid w:val="00074054"/>
    <w:rsid w:val="00074252"/>
    <w:rsid w:val="000743DC"/>
    <w:rsid w:val="0007446C"/>
    <w:rsid w:val="000804E6"/>
    <w:rsid w:val="0008158F"/>
    <w:rsid w:val="0008240F"/>
    <w:rsid w:val="00083E45"/>
    <w:rsid w:val="0008510C"/>
    <w:rsid w:val="00086B76"/>
    <w:rsid w:val="00086E8D"/>
    <w:rsid w:val="00087452"/>
    <w:rsid w:val="0009129D"/>
    <w:rsid w:val="00091726"/>
    <w:rsid w:val="00092186"/>
    <w:rsid w:val="000921A3"/>
    <w:rsid w:val="00093719"/>
    <w:rsid w:val="00093D83"/>
    <w:rsid w:val="00095E59"/>
    <w:rsid w:val="00096282"/>
    <w:rsid w:val="000963C5"/>
    <w:rsid w:val="00096C09"/>
    <w:rsid w:val="000A0869"/>
    <w:rsid w:val="000A0C6C"/>
    <w:rsid w:val="000A153C"/>
    <w:rsid w:val="000A1809"/>
    <w:rsid w:val="000A1ECC"/>
    <w:rsid w:val="000A3AED"/>
    <w:rsid w:val="000A4B69"/>
    <w:rsid w:val="000A4B97"/>
    <w:rsid w:val="000A6397"/>
    <w:rsid w:val="000A755A"/>
    <w:rsid w:val="000A7662"/>
    <w:rsid w:val="000A7C53"/>
    <w:rsid w:val="000B111F"/>
    <w:rsid w:val="000B12AA"/>
    <w:rsid w:val="000B1FEC"/>
    <w:rsid w:val="000B25C6"/>
    <w:rsid w:val="000B326A"/>
    <w:rsid w:val="000B35C8"/>
    <w:rsid w:val="000B4DE7"/>
    <w:rsid w:val="000B6FA8"/>
    <w:rsid w:val="000B7648"/>
    <w:rsid w:val="000C14D2"/>
    <w:rsid w:val="000C1F6B"/>
    <w:rsid w:val="000C2E1B"/>
    <w:rsid w:val="000C3231"/>
    <w:rsid w:val="000C3CF3"/>
    <w:rsid w:val="000C3E70"/>
    <w:rsid w:val="000C534B"/>
    <w:rsid w:val="000C54A3"/>
    <w:rsid w:val="000C58FA"/>
    <w:rsid w:val="000C71EA"/>
    <w:rsid w:val="000C738F"/>
    <w:rsid w:val="000D184D"/>
    <w:rsid w:val="000D528F"/>
    <w:rsid w:val="000D5F7A"/>
    <w:rsid w:val="000E1A5E"/>
    <w:rsid w:val="000E1D4A"/>
    <w:rsid w:val="000E2661"/>
    <w:rsid w:val="000E3220"/>
    <w:rsid w:val="000E324E"/>
    <w:rsid w:val="000E453B"/>
    <w:rsid w:val="000E4879"/>
    <w:rsid w:val="000E48E3"/>
    <w:rsid w:val="000E4A73"/>
    <w:rsid w:val="000E54C5"/>
    <w:rsid w:val="000E5551"/>
    <w:rsid w:val="000E69A0"/>
    <w:rsid w:val="000E7F32"/>
    <w:rsid w:val="000F0F63"/>
    <w:rsid w:val="000F182F"/>
    <w:rsid w:val="000F18B9"/>
    <w:rsid w:val="000F1ED9"/>
    <w:rsid w:val="000F3429"/>
    <w:rsid w:val="000F3454"/>
    <w:rsid w:val="000F3E49"/>
    <w:rsid w:val="000F4077"/>
    <w:rsid w:val="000F559B"/>
    <w:rsid w:val="000F61F2"/>
    <w:rsid w:val="000F6748"/>
    <w:rsid w:val="000F6E85"/>
    <w:rsid w:val="000F7A6F"/>
    <w:rsid w:val="000F7F54"/>
    <w:rsid w:val="00100014"/>
    <w:rsid w:val="001010FF"/>
    <w:rsid w:val="0010136C"/>
    <w:rsid w:val="00101F72"/>
    <w:rsid w:val="00104D5C"/>
    <w:rsid w:val="00105AD4"/>
    <w:rsid w:val="00105BE9"/>
    <w:rsid w:val="001079B1"/>
    <w:rsid w:val="00110CC0"/>
    <w:rsid w:val="00113D36"/>
    <w:rsid w:val="00114268"/>
    <w:rsid w:val="0011449B"/>
    <w:rsid w:val="00114969"/>
    <w:rsid w:val="00115E57"/>
    <w:rsid w:val="001177B4"/>
    <w:rsid w:val="0012064C"/>
    <w:rsid w:val="001214AF"/>
    <w:rsid w:val="00124076"/>
    <w:rsid w:val="00124385"/>
    <w:rsid w:val="00124684"/>
    <w:rsid w:val="0012566D"/>
    <w:rsid w:val="00125818"/>
    <w:rsid w:val="00125ECC"/>
    <w:rsid w:val="00125FD3"/>
    <w:rsid w:val="001263DE"/>
    <w:rsid w:val="001266E6"/>
    <w:rsid w:val="00126BEE"/>
    <w:rsid w:val="00130889"/>
    <w:rsid w:val="00130973"/>
    <w:rsid w:val="001314A6"/>
    <w:rsid w:val="00131DC9"/>
    <w:rsid w:val="0013215F"/>
    <w:rsid w:val="00134619"/>
    <w:rsid w:val="00134AB8"/>
    <w:rsid w:val="00135DB6"/>
    <w:rsid w:val="0014053F"/>
    <w:rsid w:val="00140EEB"/>
    <w:rsid w:val="00141468"/>
    <w:rsid w:val="001419D2"/>
    <w:rsid w:val="00144F31"/>
    <w:rsid w:val="00147BF0"/>
    <w:rsid w:val="00147F97"/>
    <w:rsid w:val="00150C15"/>
    <w:rsid w:val="0015461E"/>
    <w:rsid w:val="00155DF8"/>
    <w:rsid w:val="00155F8B"/>
    <w:rsid w:val="001567C6"/>
    <w:rsid w:val="00156A50"/>
    <w:rsid w:val="00160A33"/>
    <w:rsid w:val="00161103"/>
    <w:rsid w:val="001628A4"/>
    <w:rsid w:val="00162C3E"/>
    <w:rsid w:val="00163061"/>
    <w:rsid w:val="00167AEE"/>
    <w:rsid w:val="00170B22"/>
    <w:rsid w:val="00172788"/>
    <w:rsid w:val="00172A91"/>
    <w:rsid w:val="00172C3A"/>
    <w:rsid w:val="00172E9F"/>
    <w:rsid w:val="00173432"/>
    <w:rsid w:val="001770D3"/>
    <w:rsid w:val="0017767F"/>
    <w:rsid w:val="00177C88"/>
    <w:rsid w:val="0018073D"/>
    <w:rsid w:val="00181328"/>
    <w:rsid w:val="0018339F"/>
    <w:rsid w:val="00183F5E"/>
    <w:rsid w:val="00184131"/>
    <w:rsid w:val="001853AB"/>
    <w:rsid w:val="001854D8"/>
    <w:rsid w:val="001854F7"/>
    <w:rsid w:val="00185C33"/>
    <w:rsid w:val="00186BF6"/>
    <w:rsid w:val="00187E69"/>
    <w:rsid w:val="00191DBD"/>
    <w:rsid w:val="00192579"/>
    <w:rsid w:val="00193FC8"/>
    <w:rsid w:val="001958B9"/>
    <w:rsid w:val="00197130"/>
    <w:rsid w:val="001A0172"/>
    <w:rsid w:val="001A139D"/>
    <w:rsid w:val="001A1696"/>
    <w:rsid w:val="001A2202"/>
    <w:rsid w:val="001A7869"/>
    <w:rsid w:val="001A7A01"/>
    <w:rsid w:val="001B0561"/>
    <w:rsid w:val="001B1183"/>
    <w:rsid w:val="001B2051"/>
    <w:rsid w:val="001B48D7"/>
    <w:rsid w:val="001B4F0F"/>
    <w:rsid w:val="001B5086"/>
    <w:rsid w:val="001B521F"/>
    <w:rsid w:val="001B5299"/>
    <w:rsid w:val="001B5AB0"/>
    <w:rsid w:val="001B5E5D"/>
    <w:rsid w:val="001B607C"/>
    <w:rsid w:val="001B798D"/>
    <w:rsid w:val="001C1F48"/>
    <w:rsid w:val="001C2C14"/>
    <w:rsid w:val="001C3B0B"/>
    <w:rsid w:val="001C3D07"/>
    <w:rsid w:val="001C6F38"/>
    <w:rsid w:val="001C76AF"/>
    <w:rsid w:val="001C7CDB"/>
    <w:rsid w:val="001D019A"/>
    <w:rsid w:val="001D092C"/>
    <w:rsid w:val="001D143C"/>
    <w:rsid w:val="001D2368"/>
    <w:rsid w:val="001D47EF"/>
    <w:rsid w:val="001D7218"/>
    <w:rsid w:val="001D764B"/>
    <w:rsid w:val="001D7C1A"/>
    <w:rsid w:val="001E20D5"/>
    <w:rsid w:val="001E20E5"/>
    <w:rsid w:val="001E2383"/>
    <w:rsid w:val="001E28B5"/>
    <w:rsid w:val="001E3528"/>
    <w:rsid w:val="001E4275"/>
    <w:rsid w:val="001E5060"/>
    <w:rsid w:val="001E5907"/>
    <w:rsid w:val="001E620C"/>
    <w:rsid w:val="001E6908"/>
    <w:rsid w:val="001E73F1"/>
    <w:rsid w:val="001F0F86"/>
    <w:rsid w:val="001F16B7"/>
    <w:rsid w:val="001F2779"/>
    <w:rsid w:val="001F29F7"/>
    <w:rsid w:val="001F335F"/>
    <w:rsid w:val="001F3881"/>
    <w:rsid w:val="001F3B1E"/>
    <w:rsid w:val="001F5587"/>
    <w:rsid w:val="001F6928"/>
    <w:rsid w:val="001F7EDF"/>
    <w:rsid w:val="00201B80"/>
    <w:rsid w:val="00201E8D"/>
    <w:rsid w:val="00203E6A"/>
    <w:rsid w:val="0020474E"/>
    <w:rsid w:val="00204E2F"/>
    <w:rsid w:val="002055A3"/>
    <w:rsid w:val="00205CD1"/>
    <w:rsid w:val="00205D1A"/>
    <w:rsid w:val="002076F3"/>
    <w:rsid w:val="00207D00"/>
    <w:rsid w:val="00210AFB"/>
    <w:rsid w:val="00211645"/>
    <w:rsid w:val="0021184A"/>
    <w:rsid w:val="00211C8A"/>
    <w:rsid w:val="00212201"/>
    <w:rsid w:val="00212842"/>
    <w:rsid w:val="00212881"/>
    <w:rsid w:val="00212D5C"/>
    <w:rsid w:val="00212E1C"/>
    <w:rsid w:val="002134F3"/>
    <w:rsid w:val="00214CE7"/>
    <w:rsid w:val="002164BC"/>
    <w:rsid w:val="00217723"/>
    <w:rsid w:val="00220854"/>
    <w:rsid w:val="00221737"/>
    <w:rsid w:val="002230D1"/>
    <w:rsid w:val="00223760"/>
    <w:rsid w:val="00223FFF"/>
    <w:rsid w:val="002240EA"/>
    <w:rsid w:val="00224F49"/>
    <w:rsid w:val="002252FA"/>
    <w:rsid w:val="002256F9"/>
    <w:rsid w:val="00225923"/>
    <w:rsid w:val="00226122"/>
    <w:rsid w:val="002263ED"/>
    <w:rsid w:val="0022659B"/>
    <w:rsid w:val="00227AB9"/>
    <w:rsid w:val="002300AC"/>
    <w:rsid w:val="00230518"/>
    <w:rsid w:val="00230BFD"/>
    <w:rsid w:val="00231076"/>
    <w:rsid w:val="00232AA2"/>
    <w:rsid w:val="002333F3"/>
    <w:rsid w:val="00233742"/>
    <w:rsid w:val="002338B7"/>
    <w:rsid w:val="00234635"/>
    <w:rsid w:val="00234894"/>
    <w:rsid w:val="00235E2D"/>
    <w:rsid w:val="0023631F"/>
    <w:rsid w:val="002374D6"/>
    <w:rsid w:val="002403CA"/>
    <w:rsid w:val="00241515"/>
    <w:rsid w:val="00241612"/>
    <w:rsid w:val="002417FA"/>
    <w:rsid w:val="00242E48"/>
    <w:rsid w:val="0024375D"/>
    <w:rsid w:val="00243766"/>
    <w:rsid w:val="0024434E"/>
    <w:rsid w:val="0024515B"/>
    <w:rsid w:val="0024791E"/>
    <w:rsid w:val="00247BD3"/>
    <w:rsid w:val="00250269"/>
    <w:rsid w:val="00251529"/>
    <w:rsid w:val="002528DF"/>
    <w:rsid w:val="002545BA"/>
    <w:rsid w:val="00254D1A"/>
    <w:rsid w:val="002552DB"/>
    <w:rsid w:val="00256EF3"/>
    <w:rsid w:val="002571E2"/>
    <w:rsid w:val="00260174"/>
    <w:rsid w:val="00260F75"/>
    <w:rsid w:val="00261F4E"/>
    <w:rsid w:val="00262310"/>
    <w:rsid w:val="00262329"/>
    <w:rsid w:val="002623C6"/>
    <w:rsid w:val="002634B9"/>
    <w:rsid w:val="00263563"/>
    <w:rsid w:val="00263920"/>
    <w:rsid w:val="0026393E"/>
    <w:rsid w:val="002641DC"/>
    <w:rsid w:val="0026496C"/>
    <w:rsid w:val="00264CE3"/>
    <w:rsid w:val="00265403"/>
    <w:rsid w:val="00265526"/>
    <w:rsid w:val="00265AB8"/>
    <w:rsid w:val="002664A0"/>
    <w:rsid w:val="002673F2"/>
    <w:rsid w:val="00270407"/>
    <w:rsid w:val="00270752"/>
    <w:rsid w:val="00270DE4"/>
    <w:rsid w:val="002730F4"/>
    <w:rsid w:val="0027331C"/>
    <w:rsid w:val="00274251"/>
    <w:rsid w:val="0027434F"/>
    <w:rsid w:val="002745F0"/>
    <w:rsid w:val="002762FB"/>
    <w:rsid w:val="0027652A"/>
    <w:rsid w:val="00277A12"/>
    <w:rsid w:val="002806EE"/>
    <w:rsid w:val="00281E44"/>
    <w:rsid w:val="0028239B"/>
    <w:rsid w:val="00285525"/>
    <w:rsid w:val="0028618A"/>
    <w:rsid w:val="00286778"/>
    <w:rsid w:val="00286EBE"/>
    <w:rsid w:val="00287D60"/>
    <w:rsid w:val="00290011"/>
    <w:rsid w:val="00290117"/>
    <w:rsid w:val="00290855"/>
    <w:rsid w:val="00290D87"/>
    <w:rsid w:val="00291FA4"/>
    <w:rsid w:val="002920C9"/>
    <w:rsid w:val="00292D7C"/>
    <w:rsid w:val="00293297"/>
    <w:rsid w:val="0029368E"/>
    <w:rsid w:val="00295669"/>
    <w:rsid w:val="00295B19"/>
    <w:rsid w:val="0029621D"/>
    <w:rsid w:val="002A0258"/>
    <w:rsid w:val="002A09D1"/>
    <w:rsid w:val="002A1B25"/>
    <w:rsid w:val="002A1C7C"/>
    <w:rsid w:val="002A1F7E"/>
    <w:rsid w:val="002A3D45"/>
    <w:rsid w:val="002A443A"/>
    <w:rsid w:val="002A44F2"/>
    <w:rsid w:val="002A4583"/>
    <w:rsid w:val="002A4B0E"/>
    <w:rsid w:val="002A64CC"/>
    <w:rsid w:val="002A6BD3"/>
    <w:rsid w:val="002A72E7"/>
    <w:rsid w:val="002A7D6F"/>
    <w:rsid w:val="002B161E"/>
    <w:rsid w:val="002B1EE4"/>
    <w:rsid w:val="002B2BA1"/>
    <w:rsid w:val="002B2E1F"/>
    <w:rsid w:val="002B2F47"/>
    <w:rsid w:val="002B378C"/>
    <w:rsid w:val="002B3E7B"/>
    <w:rsid w:val="002B4259"/>
    <w:rsid w:val="002B4679"/>
    <w:rsid w:val="002B4E2B"/>
    <w:rsid w:val="002B50CD"/>
    <w:rsid w:val="002B71F2"/>
    <w:rsid w:val="002B7DEF"/>
    <w:rsid w:val="002C1099"/>
    <w:rsid w:val="002C3AFF"/>
    <w:rsid w:val="002C4390"/>
    <w:rsid w:val="002C5A67"/>
    <w:rsid w:val="002C5DF5"/>
    <w:rsid w:val="002C7D1D"/>
    <w:rsid w:val="002C7DC7"/>
    <w:rsid w:val="002D15A7"/>
    <w:rsid w:val="002D1881"/>
    <w:rsid w:val="002D345C"/>
    <w:rsid w:val="002D38C2"/>
    <w:rsid w:val="002D429F"/>
    <w:rsid w:val="002D4EF7"/>
    <w:rsid w:val="002D72D8"/>
    <w:rsid w:val="002E0618"/>
    <w:rsid w:val="002E08FE"/>
    <w:rsid w:val="002E0B5C"/>
    <w:rsid w:val="002E0C77"/>
    <w:rsid w:val="002E0EB2"/>
    <w:rsid w:val="002E0EB6"/>
    <w:rsid w:val="002E1290"/>
    <w:rsid w:val="002E24A9"/>
    <w:rsid w:val="002E2D55"/>
    <w:rsid w:val="002E39BC"/>
    <w:rsid w:val="002E3F10"/>
    <w:rsid w:val="002E453E"/>
    <w:rsid w:val="002E4958"/>
    <w:rsid w:val="002E589D"/>
    <w:rsid w:val="002E5D4B"/>
    <w:rsid w:val="002E65E7"/>
    <w:rsid w:val="002E733E"/>
    <w:rsid w:val="002E7B62"/>
    <w:rsid w:val="002E7E20"/>
    <w:rsid w:val="002E7F5C"/>
    <w:rsid w:val="002F1796"/>
    <w:rsid w:val="002F31DF"/>
    <w:rsid w:val="002F3633"/>
    <w:rsid w:val="002F382B"/>
    <w:rsid w:val="002F3A0D"/>
    <w:rsid w:val="002F4EF1"/>
    <w:rsid w:val="002F54EF"/>
    <w:rsid w:val="002F55BF"/>
    <w:rsid w:val="002F5D0F"/>
    <w:rsid w:val="002F5EA5"/>
    <w:rsid w:val="002F6016"/>
    <w:rsid w:val="002F632C"/>
    <w:rsid w:val="002F6906"/>
    <w:rsid w:val="002F6F53"/>
    <w:rsid w:val="002F771B"/>
    <w:rsid w:val="00300571"/>
    <w:rsid w:val="00300C8B"/>
    <w:rsid w:val="00301AF4"/>
    <w:rsid w:val="003043F7"/>
    <w:rsid w:val="003063CE"/>
    <w:rsid w:val="003107DC"/>
    <w:rsid w:val="00310D9B"/>
    <w:rsid w:val="00311444"/>
    <w:rsid w:val="00311AB8"/>
    <w:rsid w:val="00311FB0"/>
    <w:rsid w:val="0031365B"/>
    <w:rsid w:val="00315362"/>
    <w:rsid w:val="00315DE0"/>
    <w:rsid w:val="00316C7A"/>
    <w:rsid w:val="00320023"/>
    <w:rsid w:val="0032054D"/>
    <w:rsid w:val="0032180D"/>
    <w:rsid w:val="00322047"/>
    <w:rsid w:val="003226CC"/>
    <w:rsid w:val="00322796"/>
    <w:rsid w:val="00322D17"/>
    <w:rsid w:val="0032540A"/>
    <w:rsid w:val="00325FF8"/>
    <w:rsid w:val="00326AD3"/>
    <w:rsid w:val="00327382"/>
    <w:rsid w:val="00327B05"/>
    <w:rsid w:val="00327D89"/>
    <w:rsid w:val="00330E9F"/>
    <w:rsid w:val="00331AA8"/>
    <w:rsid w:val="00333227"/>
    <w:rsid w:val="003344CE"/>
    <w:rsid w:val="00334965"/>
    <w:rsid w:val="00334F1B"/>
    <w:rsid w:val="00336021"/>
    <w:rsid w:val="00336618"/>
    <w:rsid w:val="0033681D"/>
    <w:rsid w:val="00336AA2"/>
    <w:rsid w:val="00340AA4"/>
    <w:rsid w:val="003411DF"/>
    <w:rsid w:val="0034328E"/>
    <w:rsid w:val="003433F2"/>
    <w:rsid w:val="00345A1D"/>
    <w:rsid w:val="003462D2"/>
    <w:rsid w:val="00346990"/>
    <w:rsid w:val="00347705"/>
    <w:rsid w:val="0034781E"/>
    <w:rsid w:val="00353098"/>
    <w:rsid w:val="003566D3"/>
    <w:rsid w:val="00356A00"/>
    <w:rsid w:val="0035759A"/>
    <w:rsid w:val="00357A9D"/>
    <w:rsid w:val="00357BBA"/>
    <w:rsid w:val="00360048"/>
    <w:rsid w:val="0036052E"/>
    <w:rsid w:val="00360E16"/>
    <w:rsid w:val="003629BF"/>
    <w:rsid w:val="0036407A"/>
    <w:rsid w:val="003640FF"/>
    <w:rsid w:val="00364DC4"/>
    <w:rsid w:val="00364DF6"/>
    <w:rsid w:val="00365B6F"/>
    <w:rsid w:val="00365D27"/>
    <w:rsid w:val="00366535"/>
    <w:rsid w:val="00367438"/>
    <w:rsid w:val="00370213"/>
    <w:rsid w:val="0037084E"/>
    <w:rsid w:val="0037102C"/>
    <w:rsid w:val="00371716"/>
    <w:rsid w:val="00372629"/>
    <w:rsid w:val="00372AA2"/>
    <w:rsid w:val="003732AA"/>
    <w:rsid w:val="0037651C"/>
    <w:rsid w:val="00376960"/>
    <w:rsid w:val="003775EE"/>
    <w:rsid w:val="00377E0D"/>
    <w:rsid w:val="00381632"/>
    <w:rsid w:val="00381CB4"/>
    <w:rsid w:val="00382F29"/>
    <w:rsid w:val="00383063"/>
    <w:rsid w:val="003844D8"/>
    <w:rsid w:val="00386986"/>
    <w:rsid w:val="0039310F"/>
    <w:rsid w:val="0039753C"/>
    <w:rsid w:val="003A0058"/>
    <w:rsid w:val="003A06BA"/>
    <w:rsid w:val="003A096D"/>
    <w:rsid w:val="003A1FAD"/>
    <w:rsid w:val="003A2285"/>
    <w:rsid w:val="003A38D7"/>
    <w:rsid w:val="003A3BC3"/>
    <w:rsid w:val="003A404E"/>
    <w:rsid w:val="003A4214"/>
    <w:rsid w:val="003A45E1"/>
    <w:rsid w:val="003A5A75"/>
    <w:rsid w:val="003A5D68"/>
    <w:rsid w:val="003A5DE1"/>
    <w:rsid w:val="003A60E7"/>
    <w:rsid w:val="003A6C59"/>
    <w:rsid w:val="003A714A"/>
    <w:rsid w:val="003A7EB5"/>
    <w:rsid w:val="003A7F41"/>
    <w:rsid w:val="003B118E"/>
    <w:rsid w:val="003B20F8"/>
    <w:rsid w:val="003B212C"/>
    <w:rsid w:val="003B2E42"/>
    <w:rsid w:val="003B2ED8"/>
    <w:rsid w:val="003B2F10"/>
    <w:rsid w:val="003B36DA"/>
    <w:rsid w:val="003B49CB"/>
    <w:rsid w:val="003B4B90"/>
    <w:rsid w:val="003B570E"/>
    <w:rsid w:val="003B5D84"/>
    <w:rsid w:val="003B63FA"/>
    <w:rsid w:val="003B6FF6"/>
    <w:rsid w:val="003B7100"/>
    <w:rsid w:val="003C03CB"/>
    <w:rsid w:val="003C06ED"/>
    <w:rsid w:val="003C1110"/>
    <w:rsid w:val="003C33D3"/>
    <w:rsid w:val="003C382F"/>
    <w:rsid w:val="003C6160"/>
    <w:rsid w:val="003C646A"/>
    <w:rsid w:val="003D06F9"/>
    <w:rsid w:val="003D2F9F"/>
    <w:rsid w:val="003D4BFE"/>
    <w:rsid w:val="003D5738"/>
    <w:rsid w:val="003D6AD5"/>
    <w:rsid w:val="003D7CEE"/>
    <w:rsid w:val="003E04F9"/>
    <w:rsid w:val="003E13E5"/>
    <w:rsid w:val="003E220F"/>
    <w:rsid w:val="003E41AE"/>
    <w:rsid w:val="003E5540"/>
    <w:rsid w:val="003E58E7"/>
    <w:rsid w:val="003E5B9F"/>
    <w:rsid w:val="003E72BF"/>
    <w:rsid w:val="003E7D4E"/>
    <w:rsid w:val="003F0031"/>
    <w:rsid w:val="003F0DA0"/>
    <w:rsid w:val="003F1F5A"/>
    <w:rsid w:val="003F278D"/>
    <w:rsid w:val="003F429D"/>
    <w:rsid w:val="003F5D83"/>
    <w:rsid w:val="003F6283"/>
    <w:rsid w:val="003F65A2"/>
    <w:rsid w:val="003F696D"/>
    <w:rsid w:val="003F6B6F"/>
    <w:rsid w:val="003F77A9"/>
    <w:rsid w:val="004011A9"/>
    <w:rsid w:val="00402244"/>
    <w:rsid w:val="004065C1"/>
    <w:rsid w:val="00407D34"/>
    <w:rsid w:val="00411FD2"/>
    <w:rsid w:val="004122D6"/>
    <w:rsid w:val="00412BE8"/>
    <w:rsid w:val="00413D51"/>
    <w:rsid w:val="00413F7D"/>
    <w:rsid w:val="00413FDE"/>
    <w:rsid w:val="00414A9C"/>
    <w:rsid w:val="00415066"/>
    <w:rsid w:val="004157B1"/>
    <w:rsid w:val="004220EB"/>
    <w:rsid w:val="00422154"/>
    <w:rsid w:val="00422333"/>
    <w:rsid w:val="00422D5B"/>
    <w:rsid w:val="00424F62"/>
    <w:rsid w:val="00426D2B"/>
    <w:rsid w:val="00427AA2"/>
    <w:rsid w:val="00427AF5"/>
    <w:rsid w:val="00427F95"/>
    <w:rsid w:val="00427FC8"/>
    <w:rsid w:val="0043039D"/>
    <w:rsid w:val="0043092D"/>
    <w:rsid w:val="00430D18"/>
    <w:rsid w:val="00432014"/>
    <w:rsid w:val="004327DE"/>
    <w:rsid w:val="004330DA"/>
    <w:rsid w:val="00433E84"/>
    <w:rsid w:val="00434BD2"/>
    <w:rsid w:val="004358D5"/>
    <w:rsid w:val="00435B6B"/>
    <w:rsid w:val="00437F7F"/>
    <w:rsid w:val="0044017A"/>
    <w:rsid w:val="00440D0C"/>
    <w:rsid w:val="004410E8"/>
    <w:rsid w:val="0044200C"/>
    <w:rsid w:val="00442F62"/>
    <w:rsid w:val="00443800"/>
    <w:rsid w:val="00443909"/>
    <w:rsid w:val="004443D1"/>
    <w:rsid w:val="00444491"/>
    <w:rsid w:val="004456DD"/>
    <w:rsid w:val="004478BF"/>
    <w:rsid w:val="00447BCF"/>
    <w:rsid w:val="00450A30"/>
    <w:rsid w:val="004514E2"/>
    <w:rsid w:val="00451D55"/>
    <w:rsid w:val="00451F8C"/>
    <w:rsid w:val="004538B5"/>
    <w:rsid w:val="00454818"/>
    <w:rsid w:val="00454F7D"/>
    <w:rsid w:val="0045522C"/>
    <w:rsid w:val="0045570C"/>
    <w:rsid w:val="004564AE"/>
    <w:rsid w:val="00456655"/>
    <w:rsid w:val="00456A4B"/>
    <w:rsid w:val="00456E52"/>
    <w:rsid w:val="00460958"/>
    <w:rsid w:val="00460BBA"/>
    <w:rsid w:val="00463EDA"/>
    <w:rsid w:val="00464DCA"/>
    <w:rsid w:val="00465848"/>
    <w:rsid w:val="00465D5B"/>
    <w:rsid w:val="00466B1C"/>
    <w:rsid w:val="0046706E"/>
    <w:rsid w:val="00467337"/>
    <w:rsid w:val="0047000F"/>
    <w:rsid w:val="00470CC0"/>
    <w:rsid w:val="00471B2B"/>
    <w:rsid w:val="00471B5F"/>
    <w:rsid w:val="00472497"/>
    <w:rsid w:val="00473052"/>
    <w:rsid w:val="004733C9"/>
    <w:rsid w:val="0047379E"/>
    <w:rsid w:val="00473C65"/>
    <w:rsid w:val="00473D63"/>
    <w:rsid w:val="00473EB6"/>
    <w:rsid w:val="00475D1C"/>
    <w:rsid w:val="00476FCE"/>
    <w:rsid w:val="00480833"/>
    <w:rsid w:val="004814C4"/>
    <w:rsid w:val="00481C7F"/>
    <w:rsid w:val="00482241"/>
    <w:rsid w:val="00483990"/>
    <w:rsid w:val="004848A9"/>
    <w:rsid w:val="0048558B"/>
    <w:rsid w:val="004857B4"/>
    <w:rsid w:val="00486478"/>
    <w:rsid w:val="00487BDB"/>
    <w:rsid w:val="004906E1"/>
    <w:rsid w:val="00493E19"/>
    <w:rsid w:val="00493E49"/>
    <w:rsid w:val="004949C7"/>
    <w:rsid w:val="00496618"/>
    <w:rsid w:val="00496F6C"/>
    <w:rsid w:val="004A09DE"/>
    <w:rsid w:val="004A1940"/>
    <w:rsid w:val="004A209A"/>
    <w:rsid w:val="004A3241"/>
    <w:rsid w:val="004A3478"/>
    <w:rsid w:val="004A4D64"/>
    <w:rsid w:val="004A4E12"/>
    <w:rsid w:val="004A4E26"/>
    <w:rsid w:val="004A53A3"/>
    <w:rsid w:val="004A68A6"/>
    <w:rsid w:val="004A737D"/>
    <w:rsid w:val="004A7532"/>
    <w:rsid w:val="004A7EFA"/>
    <w:rsid w:val="004B0950"/>
    <w:rsid w:val="004B16E2"/>
    <w:rsid w:val="004B1B29"/>
    <w:rsid w:val="004B2479"/>
    <w:rsid w:val="004B2AB7"/>
    <w:rsid w:val="004B328C"/>
    <w:rsid w:val="004B32D3"/>
    <w:rsid w:val="004B4CEE"/>
    <w:rsid w:val="004B61EB"/>
    <w:rsid w:val="004B6864"/>
    <w:rsid w:val="004C036D"/>
    <w:rsid w:val="004C06E0"/>
    <w:rsid w:val="004C1ECD"/>
    <w:rsid w:val="004C4892"/>
    <w:rsid w:val="004C563D"/>
    <w:rsid w:val="004C6694"/>
    <w:rsid w:val="004C6862"/>
    <w:rsid w:val="004C6EAD"/>
    <w:rsid w:val="004C7536"/>
    <w:rsid w:val="004C7B64"/>
    <w:rsid w:val="004D189A"/>
    <w:rsid w:val="004D257D"/>
    <w:rsid w:val="004D27AF"/>
    <w:rsid w:val="004D2DF5"/>
    <w:rsid w:val="004D427C"/>
    <w:rsid w:val="004D4343"/>
    <w:rsid w:val="004D4CBF"/>
    <w:rsid w:val="004D6872"/>
    <w:rsid w:val="004D6D69"/>
    <w:rsid w:val="004D7368"/>
    <w:rsid w:val="004D7376"/>
    <w:rsid w:val="004E0404"/>
    <w:rsid w:val="004E0777"/>
    <w:rsid w:val="004E0C38"/>
    <w:rsid w:val="004E13BA"/>
    <w:rsid w:val="004E1A8C"/>
    <w:rsid w:val="004E2DA6"/>
    <w:rsid w:val="004E411A"/>
    <w:rsid w:val="004E414C"/>
    <w:rsid w:val="004E45F4"/>
    <w:rsid w:val="004E463E"/>
    <w:rsid w:val="004E492B"/>
    <w:rsid w:val="004E72E2"/>
    <w:rsid w:val="004F0767"/>
    <w:rsid w:val="004F2B8C"/>
    <w:rsid w:val="004F32DC"/>
    <w:rsid w:val="004F35E1"/>
    <w:rsid w:val="004F4574"/>
    <w:rsid w:val="004F572E"/>
    <w:rsid w:val="004F6F07"/>
    <w:rsid w:val="004F7086"/>
    <w:rsid w:val="004F7122"/>
    <w:rsid w:val="004F77A5"/>
    <w:rsid w:val="004F7855"/>
    <w:rsid w:val="004F7BBD"/>
    <w:rsid w:val="004F7CE2"/>
    <w:rsid w:val="004F7F08"/>
    <w:rsid w:val="00500E15"/>
    <w:rsid w:val="00501C6C"/>
    <w:rsid w:val="005032CD"/>
    <w:rsid w:val="00503685"/>
    <w:rsid w:val="00503687"/>
    <w:rsid w:val="00503B5A"/>
    <w:rsid w:val="0050438C"/>
    <w:rsid w:val="0050635E"/>
    <w:rsid w:val="005065CF"/>
    <w:rsid w:val="00507807"/>
    <w:rsid w:val="00507CD8"/>
    <w:rsid w:val="0051021F"/>
    <w:rsid w:val="00510D4D"/>
    <w:rsid w:val="00510FF2"/>
    <w:rsid w:val="005115C8"/>
    <w:rsid w:val="00511B6C"/>
    <w:rsid w:val="0051340E"/>
    <w:rsid w:val="00513901"/>
    <w:rsid w:val="00515389"/>
    <w:rsid w:val="00515EC0"/>
    <w:rsid w:val="005174C3"/>
    <w:rsid w:val="00517B37"/>
    <w:rsid w:val="005200F5"/>
    <w:rsid w:val="0052021A"/>
    <w:rsid w:val="00521A81"/>
    <w:rsid w:val="0052268C"/>
    <w:rsid w:val="00523610"/>
    <w:rsid w:val="00524416"/>
    <w:rsid w:val="005259C9"/>
    <w:rsid w:val="005302F3"/>
    <w:rsid w:val="00530FE8"/>
    <w:rsid w:val="0053357E"/>
    <w:rsid w:val="00533CD9"/>
    <w:rsid w:val="0053523D"/>
    <w:rsid w:val="0053698D"/>
    <w:rsid w:val="00537692"/>
    <w:rsid w:val="00537D2C"/>
    <w:rsid w:val="00542173"/>
    <w:rsid w:val="00542559"/>
    <w:rsid w:val="00542651"/>
    <w:rsid w:val="0054278C"/>
    <w:rsid w:val="00543794"/>
    <w:rsid w:val="00543D29"/>
    <w:rsid w:val="00544111"/>
    <w:rsid w:val="00544548"/>
    <w:rsid w:val="00544636"/>
    <w:rsid w:val="0054564D"/>
    <w:rsid w:val="00546CCF"/>
    <w:rsid w:val="00550BA6"/>
    <w:rsid w:val="0055226D"/>
    <w:rsid w:val="0055317C"/>
    <w:rsid w:val="00557FB5"/>
    <w:rsid w:val="00560466"/>
    <w:rsid w:val="0056417A"/>
    <w:rsid w:val="0056443D"/>
    <w:rsid w:val="00565349"/>
    <w:rsid w:val="005667BF"/>
    <w:rsid w:val="0056687C"/>
    <w:rsid w:val="0056769B"/>
    <w:rsid w:val="00567ED3"/>
    <w:rsid w:val="005700B9"/>
    <w:rsid w:val="00570473"/>
    <w:rsid w:val="00571C16"/>
    <w:rsid w:val="00571D34"/>
    <w:rsid w:val="00572682"/>
    <w:rsid w:val="00572BCD"/>
    <w:rsid w:val="00573875"/>
    <w:rsid w:val="005741DF"/>
    <w:rsid w:val="00574D7D"/>
    <w:rsid w:val="00575B60"/>
    <w:rsid w:val="00580B8E"/>
    <w:rsid w:val="00580DAF"/>
    <w:rsid w:val="005812B6"/>
    <w:rsid w:val="005815FB"/>
    <w:rsid w:val="0058212C"/>
    <w:rsid w:val="005821FF"/>
    <w:rsid w:val="00583967"/>
    <w:rsid w:val="0058428B"/>
    <w:rsid w:val="005845B1"/>
    <w:rsid w:val="00585F4E"/>
    <w:rsid w:val="005865F5"/>
    <w:rsid w:val="00586705"/>
    <w:rsid w:val="00586C17"/>
    <w:rsid w:val="00586F36"/>
    <w:rsid w:val="00587299"/>
    <w:rsid w:val="0058740C"/>
    <w:rsid w:val="00587B21"/>
    <w:rsid w:val="00590412"/>
    <w:rsid w:val="005908D8"/>
    <w:rsid w:val="00590F44"/>
    <w:rsid w:val="00591BD5"/>
    <w:rsid w:val="0059235B"/>
    <w:rsid w:val="0059286A"/>
    <w:rsid w:val="005934C9"/>
    <w:rsid w:val="00594D7A"/>
    <w:rsid w:val="00594EB6"/>
    <w:rsid w:val="005953CB"/>
    <w:rsid w:val="00595855"/>
    <w:rsid w:val="00595A3A"/>
    <w:rsid w:val="00595B97"/>
    <w:rsid w:val="00597F9E"/>
    <w:rsid w:val="005A123E"/>
    <w:rsid w:val="005A20D1"/>
    <w:rsid w:val="005A223C"/>
    <w:rsid w:val="005A242D"/>
    <w:rsid w:val="005A29A2"/>
    <w:rsid w:val="005A2EA3"/>
    <w:rsid w:val="005A325D"/>
    <w:rsid w:val="005A32F2"/>
    <w:rsid w:val="005A3BD2"/>
    <w:rsid w:val="005A6FAC"/>
    <w:rsid w:val="005B151C"/>
    <w:rsid w:val="005B1F01"/>
    <w:rsid w:val="005B2253"/>
    <w:rsid w:val="005B42FD"/>
    <w:rsid w:val="005B4329"/>
    <w:rsid w:val="005B7C0D"/>
    <w:rsid w:val="005B7E02"/>
    <w:rsid w:val="005C00B7"/>
    <w:rsid w:val="005C026D"/>
    <w:rsid w:val="005C06AE"/>
    <w:rsid w:val="005C0A52"/>
    <w:rsid w:val="005C1756"/>
    <w:rsid w:val="005C19F4"/>
    <w:rsid w:val="005C2C99"/>
    <w:rsid w:val="005C44FA"/>
    <w:rsid w:val="005C4F56"/>
    <w:rsid w:val="005C6FDD"/>
    <w:rsid w:val="005D119A"/>
    <w:rsid w:val="005D1709"/>
    <w:rsid w:val="005D230F"/>
    <w:rsid w:val="005D2E8D"/>
    <w:rsid w:val="005D3638"/>
    <w:rsid w:val="005D388E"/>
    <w:rsid w:val="005D3BFC"/>
    <w:rsid w:val="005D4B54"/>
    <w:rsid w:val="005D4E6A"/>
    <w:rsid w:val="005D54DB"/>
    <w:rsid w:val="005D6255"/>
    <w:rsid w:val="005D63B6"/>
    <w:rsid w:val="005E0028"/>
    <w:rsid w:val="005E160D"/>
    <w:rsid w:val="005E2224"/>
    <w:rsid w:val="005E3F33"/>
    <w:rsid w:val="005E4D73"/>
    <w:rsid w:val="005E58E5"/>
    <w:rsid w:val="005E5F6D"/>
    <w:rsid w:val="005E65A7"/>
    <w:rsid w:val="005E6988"/>
    <w:rsid w:val="005E7391"/>
    <w:rsid w:val="005E7A6B"/>
    <w:rsid w:val="005F107B"/>
    <w:rsid w:val="005F1096"/>
    <w:rsid w:val="005F3F7C"/>
    <w:rsid w:val="005F409D"/>
    <w:rsid w:val="005F4598"/>
    <w:rsid w:val="005F53AF"/>
    <w:rsid w:val="005F62EF"/>
    <w:rsid w:val="005F7C4C"/>
    <w:rsid w:val="00601F8C"/>
    <w:rsid w:val="0060216B"/>
    <w:rsid w:val="0060571F"/>
    <w:rsid w:val="00605D27"/>
    <w:rsid w:val="00606093"/>
    <w:rsid w:val="006070AD"/>
    <w:rsid w:val="00607A0F"/>
    <w:rsid w:val="00607DB4"/>
    <w:rsid w:val="006107F3"/>
    <w:rsid w:val="00610890"/>
    <w:rsid w:val="00611486"/>
    <w:rsid w:val="00611704"/>
    <w:rsid w:val="00611E07"/>
    <w:rsid w:val="00612243"/>
    <w:rsid w:val="00612CEB"/>
    <w:rsid w:val="00614038"/>
    <w:rsid w:val="00614DA9"/>
    <w:rsid w:val="0061510E"/>
    <w:rsid w:val="00616D11"/>
    <w:rsid w:val="00617122"/>
    <w:rsid w:val="006173EB"/>
    <w:rsid w:val="00620A81"/>
    <w:rsid w:val="00620AAC"/>
    <w:rsid w:val="00621106"/>
    <w:rsid w:val="0062143E"/>
    <w:rsid w:val="006218D4"/>
    <w:rsid w:val="0062193E"/>
    <w:rsid w:val="00622855"/>
    <w:rsid w:val="00622FE3"/>
    <w:rsid w:val="00623051"/>
    <w:rsid w:val="0062392C"/>
    <w:rsid w:val="00623C2C"/>
    <w:rsid w:val="00623D20"/>
    <w:rsid w:val="0062436C"/>
    <w:rsid w:val="00626195"/>
    <w:rsid w:val="00626A45"/>
    <w:rsid w:val="00626BA4"/>
    <w:rsid w:val="0062710F"/>
    <w:rsid w:val="006278E8"/>
    <w:rsid w:val="00627FE4"/>
    <w:rsid w:val="00631249"/>
    <w:rsid w:val="00631350"/>
    <w:rsid w:val="00633528"/>
    <w:rsid w:val="006337CE"/>
    <w:rsid w:val="0063396C"/>
    <w:rsid w:val="0063450B"/>
    <w:rsid w:val="0063609A"/>
    <w:rsid w:val="00640008"/>
    <w:rsid w:val="00640BBB"/>
    <w:rsid w:val="00640E6E"/>
    <w:rsid w:val="00641663"/>
    <w:rsid w:val="006431AC"/>
    <w:rsid w:val="00644B1F"/>
    <w:rsid w:val="00645639"/>
    <w:rsid w:val="00645C6D"/>
    <w:rsid w:val="006467CB"/>
    <w:rsid w:val="00647908"/>
    <w:rsid w:val="00650391"/>
    <w:rsid w:val="00651149"/>
    <w:rsid w:val="00651EA4"/>
    <w:rsid w:val="00653074"/>
    <w:rsid w:val="00654543"/>
    <w:rsid w:val="0065479C"/>
    <w:rsid w:val="0065564F"/>
    <w:rsid w:val="00657A1A"/>
    <w:rsid w:val="00660558"/>
    <w:rsid w:val="006610B2"/>
    <w:rsid w:val="00662828"/>
    <w:rsid w:val="00662A80"/>
    <w:rsid w:val="006645CF"/>
    <w:rsid w:val="006653A0"/>
    <w:rsid w:val="00667BCB"/>
    <w:rsid w:val="00671568"/>
    <w:rsid w:val="00671B5D"/>
    <w:rsid w:val="0067270E"/>
    <w:rsid w:val="00672C15"/>
    <w:rsid w:val="00673F0D"/>
    <w:rsid w:val="00675A14"/>
    <w:rsid w:val="00676BA2"/>
    <w:rsid w:val="00677758"/>
    <w:rsid w:val="00677D2F"/>
    <w:rsid w:val="0068081D"/>
    <w:rsid w:val="00680C61"/>
    <w:rsid w:val="00681740"/>
    <w:rsid w:val="00681B92"/>
    <w:rsid w:val="006823F5"/>
    <w:rsid w:val="00684C66"/>
    <w:rsid w:val="00685558"/>
    <w:rsid w:val="0068599B"/>
    <w:rsid w:val="006860D0"/>
    <w:rsid w:val="00686854"/>
    <w:rsid w:val="00687217"/>
    <w:rsid w:val="0069390D"/>
    <w:rsid w:val="00693AA0"/>
    <w:rsid w:val="00693BAF"/>
    <w:rsid w:val="006947AD"/>
    <w:rsid w:val="006953C3"/>
    <w:rsid w:val="00695772"/>
    <w:rsid w:val="006962D6"/>
    <w:rsid w:val="006A184D"/>
    <w:rsid w:val="006A1B7A"/>
    <w:rsid w:val="006A2632"/>
    <w:rsid w:val="006A2D1C"/>
    <w:rsid w:val="006A35A5"/>
    <w:rsid w:val="006A3F02"/>
    <w:rsid w:val="006A55CB"/>
    <w:rsid w:val="006A5F76"/>
    <w:rsid w:val="006A681D"/>
    <w:rsid w:val="006A69FF"/>
    <w:rsid w:val="006A6BCF"/>
    <w:rsid w:val="006A79EC"/>
    <w:rsid w:val="006A7A24"/>
    <w:rsid w:val="006B1956"/>
    <w:rsid w:val="006B33C2"/>
    <w:rsid w:val="006B4600"/>
    <w:rsid w:val="006B4F74"/>
    <w:rsid w:val="006B57EC"/>
    <w:rsid w:val="006B59A6"/>
    <w:rsid w:val="006B5F07"/>
    <w:rsid w:val="006B7040"/>
    <w:rsid w:val="006B7E34"/>
    <w:rsid w:val="006C0932"/>
    <w:rsid w:val="006C0CCB"/>
    <w:rsid w:val="006C20AC"/>
    <w:rsid w:val="006C433C"/>
    <w:rsid w:val="006C4B1D"/>
    <w:rsid w:val="006C4EF6"/>
    <w:rsid w:val="006C6EAA"/>
    <w:rsid w:val="006C7089"/>
    <w:rsid w:val="006D07B5"/>
    <w:rsid w:val="006D0981"/>
    <w:rsid w:val="006D22FE"/>
    <w:rsid w:val="006D2600"/>
    <w:rsid w:val="006D3250"/>
    <w:rsid w:val="006D479B"/>
    <w:rsid w:val="006D5680"/>
    <w:rsid w:val="006D5EA6"/>
    <w:rsid w:val="006D66BF"/>
    <w:rsid w:val="006E24D6"/>
    <w:rsid w:val="006E3AEB"/>
    <w:rsid w:val="006E3E5E"/>
    <w:rsid w:val="006E48DC"/>
    <w:rsid w:val="006E554F"/>
    <w:rsid w:val="006E5580"/>
    <w:rsid w:val="006E5B55"/>
    <w:rsid w:val="006E712E"/>
    <w:rsid w:val="006F1244"/>
    <w:rsid w:val="006F1DF4"/>
    <w:rsid w:val="006F2742"/>
    <w:rsid w:val="006F2A34"/>
    <w:rsid w:val="006F4652"/>
    <w:rsid w:val="006F4C09"/>
    <w:rsid w:val="006F6595"/>
    <w:rsid w:val="006F753A"/>
    <w:rsid w:val="006F775F"/>
    <w:rsid w:val="006F7D64"/>
    <w:rsid w:val="00700F50"/>
    <w:rsid w:val="0070184C"/>
    <w:rsid w:val="00702440"/>
    <w:rsid w:val="007033F5"/>
    <w:rsid w:val="007051D3"/>
    <w:rsid w:val="00705533"/>
    <w:rsid w:val="007057B3"/>
    <w:rsid w:val="00706552"/>
    <w:rsid w:val="007070D7"/>
    <w:rsid w:val="00707892"/>
    <w:rsid w:val="007079AC"/>
    <w:rsid w:val="00707BFE"/>
    <w:rsid w:val="00707D41"/>
    <w:rsid w:val="0071046E"/>
    <w:rsid w:val="00710DC6"/>
    <w:rsid w:val="00711484"/>
    <w:rsid w:val="007115C7"/>
    <w:rsid w:val="00712695"/>
    <w:rsid w:val="00713175"/>
    <w:rsid w:val="007157CC"/>
    <w:rsid w:val="00715AD2"/>
    <w:rsid w:val="00716631"/>
    <w:rsid w:val="007175F7"/>
    <w:rsid w:val="00717A70"/>
    <w:rsid w:val="0072072A"/>
    <w:rsid w:val="007210BD"/>
    <w:rsid w:val="0072243F"/>
    <w:rsid w:val="0072303D"/>
    <w:rsid w:val="00724353"/>
    <w:rsid w:val="00724D25"/>
    <w:rsid w:val="00725613"/>
    <w:rsid w:val="00725D33"/>
    <w:rsid w:val="00727616"/>
    <w:rsid w:val="0072796C"/>
    <w:rsid w:val="0072798D"/>
    <w:rsid w:val="007318BA"/>
    <w:rsid w:val="00731C3E"/>
    <w:rsid w:val="00732BD3"/>
    <w:rsid w:val="00734DDD"/>
    <w:rsid w:val="00735077"/>
    <w:rsid w:val="00735155"/>
    <w:rsid w:val="00735506"/>
    <w:rsid w:val="00735F0B"/>
    <w:rsid w:val="0073779B"/>
    <w:rsid w:val="007416EE"/>
    <w:rsid w:val="007417E0"/>
    <w:rsid w:val="007417F4"/>
    <w:rsid w:val="0074493E"/>
    <w:rsid w:val="00745C55"/>
    <w:rsid w:val="007467BC"/>
    <w:rsid w:val="00750303"/>
    <w:rsid w:val="00751490"/>
    <w:rsid w:val="00751967"/>
    <w:rsid w:val="00752486"/>
    <w:rsid w:val="00752CB9"/>
    <w:rsid w:val="00752DB8"/>
    <w:rsid w:val="0075364E"/>
    <w:rsid w:val="00753A17"/>
    <w:rsid w:val="0075475C"/>
    <w:rsid w:val="00754E0C"/>
    <w:rsid w:val="00755078"/>
    <w:rsid w:val="00756388"/>
    <w:rsid w:val="007572DC"/>
    <w:rsid w:val="00764284"/>
    <w:rsid w:val="007646D6"/>
    <w:rsid w:val="00765BCF"/>
    <w:rsid w:val="00766CF8"/>
    <w:rsid w:val="00767AE9"/>
    <w:rsid w:val="00770999"/>
    <w:rsid w:val="00771364"/>
    <w:rsid w:val="00771463"/>
    <w:rsid w:val="00771FCA"/>
    <w:rsid w:val="00772637"/>
    <w:rsid w:val="007750C7"/>
    <w:rsid w:val="00775A3D"/>
    <w:rsid w:val="00780467"/>
    <w:rsid w:val="00780559"/>
    <w:rsid w:val="0078166C"/>
    <w:rsid w:val="00781D4F"/>
    <w:rsid w:val="007826EC"/>
    <w:rsid w:val="0078373F"/>
    <w:rsid w:val="00783A51"/>
    <w:rsid w:val="00785642"/>
    <w:rsid w:val="007873ED"/>
    <w:rsid w:val="00787433"/>
    <w:rsid w:val="00790D57"/>
    <w:rsid w:val="007911CA"/>
    <w:rsid w:val="00791573"/>
    <w:rsid w:val="007918F7"/>
    <w:rsid w:val="00791CEC"/>
    <w:rsid w:val="0079299A"/>
    <w:rsid w:val="00792A5A"/>
    <w:rsid w:val="00792D6E"/>
    <w:rsid w:val="00795331"/>
    <w:rsid w:val="00795601"/>
    <w:rsid w:val="00795D3A"/>
    <w:rsid w:val="00797384"/>
    <w:rsid w:val="00797951"/>
    <w:rsid w:val="007A0E55"/>
    <w:rsid w:val="007A1661"/>
    <w:rsid w:val="007A33E8"/>
    <w:rsid w:val="007A4CD4"/>
    <w:rsid w:val="007A4DD7"/>
    <w:rsid w:val="007A5047"/>
    <w:rsid w:val="007A5295"/>
    <w:rsid w:val="007A6ACC"/>
    <w:rsid w:val="007B06BD"/>
    <w:rsid w:val="007B0CED"/>
    <w:rsid w:val="007B1828"/>
    <w:rsid w:val="007B3DA1"/>
    <w:rsid w:val="007B3DE4"/>
    <w:rsid w:val="007B3E62"/>
    <w:rsid w:val="007B422E"/>
    <w:rsid w:val="007B550A"/>
    <w:rsid w:val="007B696E"/>
    <w:rsid w:val="007B7396"/>
    <w:rsid w:val="007C299B"/>
    <w:rsid w:val="007C2A90"/>
    <w:rsid w:val="007C2F90"/>
    <w:rsid w:val="007C3416"/>
    <w:rsid w:val="007D0874"/>
    <w:rsid w:val="007D0E1A"/>
    <w:rsid w:val="007D1A76"/>
    <w:rsid w:val="007D1FF1"/>
    <w:rsid w:val="007D36AC"/>
    <w:rsid w:val="007D3C72"/>
    <w:rsid w:val="007D4C45"/>
    <w:rsid w:val="007D51C8"/>
    <w:rsid w:val="007D678A"/>
    <w:rsid w:val="007D7B9E"/>
    <w:rsid w:val="007E06B9"/>
    <w:rsid w:val="007E0864"/>
    <w:rsid w:val="007E10CF"/>
    <w:rsid w:val="007E20FB"/>
    <w:rsid w:val="007E355F"/>
    <w:rsid w:val="007E6947"/>
    <w:rsid w:val="007E74D3"/>
    <w:rsid w:val="007E7950"/>
    <w:rsid w:val="007E7FD1"/>
    <w:rsid w:val="007F0120"/>
    <w:rsid w:val="007F04D9"/>
    <w:rsid w:val="007F100B"/>
    <w:rsid w:val="007F19A2"/>
    <w:rsid w:val="007F37CC"/>
    <w:rsid w:val="007F3B35"/>
    <w:rsid w:val="007F3FE3"/>
    <w:rsid w:val="007F40C2"/>
    <w:rsid w:val="007F4E3D"/>
    <w:rsid w:val="007F601D"/>
    <w:rsid w:val="007F6A3D"/>
    <w:rsid w:val="007F6CCD"/>
    <w:rsid w:val="007F7A73"/>
    <w:rsid w:val="008000B9"/>
    <w:rsid w:val="00800C8F"/>
    <w:rsid w:val="00800E74"/>
    <w:rsid w:val="00803365"/>
    <w:rsid w:val="0080463E"/>
    <w:rsid w:val="008051F7"/>
    <w:rsid w:val="00807B78"/>
    <w:rsid w:val="00810F13"/>
    <w:rsid w:val="0081148D"/>
    <w:rsid w:val="008132BF"/>
    <w:rsid w:val="00813D38"/>
    <w:rsid w:val="0081618D"/>
    <w:rsid w:val="0081698A"/>
    <w:rsid w:val="00816AD2"/>
    <w:rsid w:val="00816B06"/>
    <w:rsid w:val="00817146"/>
    <w:rsid w:val="0081760E"/>
    <w:rsid w:val="008179DD"/>
    <w:rsid w:val="00820437"/>
    <w:rsid w:val="00820857"/>
    <w:rsid w:val="00820EFE"/>
    <w:rsid w:val="008213DE"/>
    <w:rsid w:val="00822E93"/>
    <w:rsid w:val="00822F9A"/>
    <w:rsid w:val="00822FF1"/>
    <w:rsid w:val="0082331C"/>
    <w:rsid w:val="00824907"/>
    <w:rsid w:val="008266E3"/>
    <w:rsid w:val="0082677C"/>
    <w:rsid w:val="0082798B"/>
    <w:rsid w:val="00827EA4"/>
    <w:rsid w:val="00830241"/>
    <w:rsid w:val="00831139"/>
    <w:rsid w:val="008326A1"/>
    <w:rsid w:val="00833A81"/>
    <w:rsid w:val="00833C13"/>
    <w:rsid w:val="00833C36"/>
    <w:rsid w:val="00835061"/>
    <w:rsid w:val="008359ED"/>
    <w:rsid w:val="008362BD"/>
    <w:rsid w:val="00836ABC"/>
    <w:rsid w:val="00836EF2"/>
    <w:rsid w:val="00837657"/>
    <w:rsid w:val="00840337"/>
    <w:rsid w:val="0084149B"/>
    <w:rsid w:val="0084150D"/>
    <w:rsid w:val="008421E9"/>
    <w:rsid w:val="00842521"/>
    <w:rsid w:val="008432B8"/>
    <w:rsid w:val="00843D11"/>
    <w:rsid w:val="0084403B"/>
    <w:rsid w:val="008440A2"/>
    <w:rsid w:val="00844355"/>
    <w:rsid w:val="00844991"/>
    <w:rsid w:val="00845413"/>
    <w:rsid w:val="008457BF"/>
    <w:rsid w:val="00847DFD"/>
    <w:rsid w:val="0085197C"/>
    <w:rsid w:val="00853B81"/>
    <w:rsid w:val="00855639"/>
    <w:rsid w:val="00856257"/>
    <w:rsid w:val="00856D01"/>
    <w:rsid w:val="0086009C"/>
    <w:rsid w:val="00860A05"/>
    <w:rsid w:val="00860A41"/>
    <w:rsid w:val="00861111"/>
    <w:rsid w:val="00861517"/>
    <w:rsid w:val="0086372B"/>
    <w:rsid w:val="00863819"/>
    <w:rsid w:val="00863BB9"/>
    <w:rsid w:val="008647D8"/>
    <w:rsid w:val="00864B28"/>
    <w:rsid w:val="00865F48"/>
    <w:rsid w:val="00867A71"/>
    <w:rsid w:val="00874385"/>
    <w:rsid w:val="008750E5"/>
    <w:rsid w:val="008769BE"/>
    <w:rsid w:val="00876B4F"/>
    <w:rsid w:val="0087709F"/>
    <w:rsid w:val="00877663"/>
    <w:rsid w:val="00880274"/>
    <w:rsid w:val="00880691"/>
    <w:rsid w:val="00881058"/>
    <w:rsid w:val="00881DB0"/>
    <w:rsid w:val="00882E8E"/>
    <w:rsid w:val="008834BB"/>
    <w:rsid w:val="008855F1"/>
    <w:rsid w:val="008863C2"/>
    <w:rsid w:val="0089108B"/>
    <w:rsid w:val="008910D1"/>
    <w:rsid w:val="00891150"/>
    <w:rsid w:val="008922E0"/>
    <w:rsid w:val="00892A0E"/>
    <w:rsid w:val="00892A8C"/>
    <w:rsid w:val="00893227"/>
    <w:rsid w:val="00893307"/>
    <w:rsid w:val="00893D82"/>
    <w:rsid w:val="00895841"/>
    <w:rsid w:val="00897253"/>
    <w:rsid w:val="008A0474"/>
    <w:rsid w:val="008A11E7"/>
    <w:rsid w:val="008A160E"/>
    <w:rsid w:val="008A1770"/>
    <w:rsid w:val="008A2923"/>
    <w:rsid w:val="008A3442"/>
    <w:rsid w:val="008A5F0F"/>
    <w:rsid w:val="008A6C52"/>
    <w:rsid w:val="008A6EBA"/>
    <w:rsid w:val="008A7220"/>
    <w:rsid w:val="008A77B0"/>
    <w:rsid w:val="008B0C4F"/>
    <w:rsid w:val="008B1142"/>
    <w:rsid w:val="008B210D"/>
    <w:rsid w:val="008B28A8"/>
    <w:rsid w:val="008B368C"/>
    <w:rsid w:val="008B3824"/>
    <w:rsid w:val="008B44B3"/>
    <w:rsid w:val="008B4D1A"/>
    <w:rsid w:val="008B5754"/>
    <w:rsid w:val="008B6982"/>
    <w:rsid w:val="008C0301"/>
    <w:rsid w:val="008C0410"/>
    <w:rsid w:val="008C0A04"/>
    <w:rsid w:val="008C0CF5"/>
    <w:rsid w:val="008C0D86"/>
    <w:rsid w:val="008C250C"/>
    <w:rsid w:val="008C38A0"/>
    <w:rsid w:val="008C4542"/>
    <w:rsid w:val="008C462E"/>
    <w:rsid w:val="008C633E"/>
    <w:rsid w:val="008C6DC8"/>
    <w:rsid w:val="008C7048"/>
    <w:rsid w:val="008D08F2"/>
    <w:rsid w:val="008D1781"/>
    <w:rsid w:val="008D1E34"/>
    <w:rsid w:val="008D21E5"/>
    <w:rsid w:val="008D29AF"/>
    <w:rsid w:val="008D48C4"/>
    <w:rsid w:val="008D585D"/>
    <w:rsid w:val="008E02D6"/>
    <w:rsid w:val="008E08F1"/>
    <w:rsid w:val="008E0F2B"/>
    <w:rsid w:val="008E1225"/>
    <w:rsid w:val="008E3420"/>
    <w:rsid w:val="008E34CD"/>
    <w:rsid w:val="008E3A23"/>
    <w:rsid w:val="008E6408"/>
    <w:rsid w:val="008E6755"/>
    <w:rsid w:val="008E6D15"/>
    <w:rsid w:val="008E7A55"/>
    <w:rsid w:val="008F0701"/>
    <w:rsid w:val="008F1026"/>
    <w:rsid w:val="008F13E7"/>
    <w:rsid w:val="008F1ECF"/>
    <w:rsid w:val="008F2CBC"/>
    <w:rsid w:val="008F57B3"/>
    <w:rsid w:val="008F5A91"/>
    <w:rsid w:val="008F609B"/>
    <w:rsid w:val="008F6B2C"/>
    <w:rsid w:val="008F6D50"/>
    <w:rsid w:val="008F75C9"/>
    <w:rsid w:val="008F763C"/>
    <w:rsid w:val="008F79F8"/>
    <w:rsid w:val="008F7A4A"/>
    <w:rsid w:val="008F7A8A"/>
    <w:rsid w:val="009001CA"/>
    <w:rsid w:val="0090336B"/>
    <w:rsid w:val="00904AD3"/>
    <w:rsid w:val="00904C5D"/>
    <w:rsid w:val="00906C8A"/>
    <w:rsid w:val="00907B9D"/>
    <w:rsid w:val="009102EC"/>
    <w:rsid w:val="00910541"/>
    <w:rsid w:val="00910A35"/>
    <w:rsid w:val="00913021"/>
    <w:rsid w:val="009143C5"/>
    <w:rsid w:val="0091461F"/>
    <w:rsid w:val="009147A7"/>
    <w:rsid w:val="00916B59"/>
    <w:rsid w:val="009174B5"/>
    <w:rsid w:val="00921B43"/>
    <w:rsid w:val="00923451"/>
    <w:rsid w:val="009235A8"/>
    <w:rsid w:val="00923A7C"/>
    <w:rsid w:val="009261D9"/>
    <w:rsid w:val="00926BB5"/>
    <w:rsid w:val="00927321"/>
    <w:rsid w:val="0093055E"/>
    <w:rsid w:val="00933408"/>
    <w:rsid w:val="00934FC1"/>
    <w:rsid w:val="00935DD8"/>
    <w:rsid w:val="00935EA1"/>
    <w:rsid w:val="00940E1F"/>
    <w:rsid w:val="00940FE6"/>
    <w:rsid w:val="009414A0"/>
    <w:rsid w:val="00942053"/>
    <w:rsid w:val="009428D4"/>
    <w:rsid w:val="009428F0"/>
    <w:rsid w:val="00942954"/>
    <w:rsid w:val="0094329F"/>
    <w:rsid w:val="00943653"/>
    <w:rsid w:val="009438AF"/>
    <w:rsid w:val="00944073"/>
    <w:rsid w:val="009448EC"/>
    <w:rsid w:val="0094534A"/>
    <w:rsid w:val="00945632"/>
    <w:rsid w:val="00945A27"/>
    <w:rsid w:val="00945B4E"/>
    <w:rsid w:val="009462E0"/>
    <w:rsid w:val="0094652D"/>
    <w:rsid w:val="00947691"/>
    <w:rsid w:val="00947F7A"/>
    <w:rsid w:val="00950808"/>
    <w:rsid w:val="00951B50"/>
    <w:rsid w:val="00952154"/>
    <w:rsid w:val="00952419"/>
    <w:rsid w:val="00952FC5"/>
    <w:rsid w:val="00953305"/>
    <w:rsid w:val="009536AF"/>
    <w:rsid w:val="00954388"/>
    <w:rsid w:val="00954E1F"/>
    <w:rsid w:val="00957968"/>
    <w:rsid w:val="009622F0"/>
    <w:rsid w:val="009626A4"/>
    <w:rsid w:val="0096305F"/>
    <w:rsid w:val="0096352C"/>
    <w:rsid w:val="00964195"/>
    <w:rsid w:val="009651A0"/>
    <w:rsid w:val="009651E9"/>
    <w:rsid w:val="0096527F"/>
    <w:rsid w:val="009652D3"/>
    <w:rsid w:val="00965AD2"/>
    <w:rsid w:val="00967605"/>
    <w:rsid w:val="00967A07"/>
    <w:rsid w:val="009725F9"/>
    <w:rsid w:val="00973CE4"/>
    <w:rsid w:val="00975131"/>
    <w:rsid w:val="00976B26"/>
    <w:rsid w:val="00976DE3"/>
    <w:rsid w:val="0098020B"/>
    <w:rsid w:val="00980ADB"/>
    <w:rsid w:val="00982A37"/>
    <w:rsid w:val="00982CE1"/>
    <w:rsid w:val="0098360C"/>
    <w:rsid w:val="0098361C"/>
    <w:rsid w:val="00983E04"/>
    <w:rsid w:val="009852E2"/>
    <w:rsid w:val="009854BF"/>
    <w:rsid w:val="00985DD9"/>
    <w:rsid w:val="00986693"/>
    <w:rsid w:val="009870A6"/>
    <w:rsid w:val="00987EB3"/>
    <w:rsid w:val="0099037E"/>
    <w:rsid w:val="00990D40"/>
    <w:rsid w:val="00991562"/>
    <w:rsid w:val="00991622"/>
    <w:rsid w:val="00991652"/>
    <w:rsid w:val="009937DE"/>
    <w:rsid w:val="0099399B"/>
    <w:rsid w:val="00994994"/>
    <w:rsid w:val="009954CB"/>
    <w:rsid w:val="00995A9B"/>
    <w:rsid w:val="00996A99"/>
    <w:rsid w:val="009A0275"/>
    <w:rsid w:val="009A042C"/>
    <w:rsid w:val="009A0D39"/>
    <w:rsid w:val="009A3878"/>
    <w:rsid w:val="009A4DBE"/>
    <w:rsid w:val="009A59DE"/>
    <w:rsid w:val="009A7C62"/>
    <w:rsid w:val="009B1C51"/>
    <w:rsid w:val="009B1CBB"/>
    <w:rsid w:val="009B1F55"/>
    <w:rsid w:val="009B5336"/>
    <w:rsid w:val="009B5B88"/>
    <w:rsid w:val="009C3A3F"/>
    <w:rsid w:val="009C3CEC"/>
    <w:rsid w:val="009C54CF"/>
    <w:rsid w:val="009C567C"/>
    <w:rsid w:val="009C60DE"/>
    <w:rsid w:val="009C644C"/>
    <w:rsid w:val="009C6A0E"/>
    <w:rsid w:val="009C6EC6"/>
    <w:rsid w:val="009C7E20"/>
    <w:rsid w:val="009D0A61"/>
    <w:rsid w:val="009D1611"/>
    <w:rsid w:val="009D313E"/>
    <w:rsid w:val="009D378F"/>
    <w:rsid w:val="009D3A2A"/>
    <w:rsid w:val="009D4036"/>
    <w:rsid w:val="009D46E7"/>
    <w:rsid w:val="009D48B8"/>
    <w:rsid w:val="009D4ECE"/>
    <w:rsid w:val="009D5544"/>
    <w:rsid w:val="009D5B3E"/>
    <w:rsid w:val="009D60DF"/>
    <w:rsid w:val="009D6850"/>
    <w:rsid w:val="009D6904"/>
    <w:rsid w:val="009D6F25"/>
    <w:rsid w:val="009D7070"/>
    <w:rsid w:val="009D7E80"/>
    <w:rsid w:val="009E47A4"/>
    <w:rsid w:val="009E6D55"/>
    <w:rsid w:val="009E700E"/>
    <w:rsid w:val="009F00CD"/>
    <w:rsid w:val="009F13DF"/>
    <w:rsid w:val="009F28D6"/>
    <w:rsid w:val="009F3145"/>
    <w:rsid w:val="009F3AC8"/>
    <w:rsid w:val="009F4C3A"/>
    <w:rsid w:val="009F53D8"/>
    <w:rsid w:val="009F5D9A"/>
    <w:rsid w:val="009F609D"/>
    <w:rsid w:val="009F6367"/>
    <w:rsid w:val="009F6D7F"/>
    <w:rsid w:val="009F702B"/>
    <w:rsid w:val="00A002B6"/>
    <w:rsid w:val="00A00FA7"/>
    <w:rsid w:val="00A016A6"/>
    <w:rsid w:val="00A036E2"/>
    <w:rsid w:val="00A037E9"/>
    <w:rsid w:val="00A05360"/>
    <w:rsid w:val="00A07A23"/>
    <w:rsid w:val="00A07DE3"/>
    <w:rsid w:val="00A107D1"/>
    <w:rsid w:val="00A115CF"/>
    <w:rsid w:val="00A1223A"/>
    <w:rsid w:val="00A12B6F"/>
    <w:rsid w:val="00A14738"/>
    <w:rsid w:val="00A1666C"/>
    <w:rsid w:val="00A20810"/>
    <w:rsid w:val="00A219F0"/>
    <w:rsid w:val="00A25103"/>
    <w:rsid w:val="00A26717"/>
    <w:rsid w:val="00A2792D"/>
    <w:rsid w:val="00A30112"/>
    <w:rsid w:val="00A306F9"/>
    <w:rsid w:val="00A350D5"/>
    <w:rsid w:val="00A3541A"/>
    <w:rsid w:val="00A3551F"/>
    <w:rsid w:val="00A357BA"/>
    <w:rsid w:val="00A35A34"/>
    <w:rsid w:val="00A3602C"/>
    <w:rsid w:val="00A376B7"/>
    <w:rsid w:val="00A37F91"/>
    <w:rsid w:val="00A401F7"/>
    <w:rsid w:val="00A413E6"/>
    <w:rsid w:val="00A42836"/>
    <w:rsid w:val="00A42C18"/>
    <w:rsid w:val="00A4488B"/>
    <w:rsid w:val="00A44D5F"/>
    <w:rsid w:val="00A450F1"/>
    <w:rsid w:val="00A459BF"/>
    <w:rsid w:val="00A45A24"/>
    <w:rsid w:val="00A47F19"/>
    <w:rsid w:val="00A505FE"/>
    <w:rsid w:val="00A50839"/>
    <w:rsid w:val="00A514D0"/>
    <w:rsid w:val="00A516CB"/>
    <w:rsid w:val="00A51AEF"/>
    <w:rsid w:val="00A52AA9"/>
    <w:rsid w:val="00A52E9C"/>
    <w:rsid w:val="00A53C28"/>
    <w:rsid w:val="00A5585F"/>
    <w:rsid w:val="00A56F83"/>
    <w:rsid w:val="00A57363"/>
    <w:rsid w:val="00A6158B"/>
    <w:rsid w:val="00A62C2E"/>
    <w:rsid w:val="00A63778"/>
    <w:rsid w:val="00A63E33"/>
    <w:rsid w:val="00A63F73"/>
    <w:rsid w:val="00A6490D"/>
    <w:rsid w:val="00A65223"/>
    <w:rsid w:val="00A6615D"/>
    <w:rsid w:val="00A67248"/>
    <w:rsid w:val="00A70856"/>
    <w:rsid w:val="00A70880"/>
    <w:rsid w:val="00A72720"/>
    <w:rsid w:val="00A741C2"/>
    <w:rsid w:val="00A74675"/>
    <w:rsid w:val="00A7470D"/>
    <w:rsid w:val="00A74E46"/>
    <w:rsid w:val="00A75608"/>
    <w:rsid w:val="00A761A1"/>
    <w:rsid w:val="00A761AA"/>
    <w:rsid w:val="00A7644D"/>
    <w:rsid w:val="00A7701A"/>
    <w:rsid w:val="00A802DD"/>
    <w:rsid w:val="00A80AAD"/>
    <w:rsid w:val="00A80C3C"/>
    <w:rsid w:val="00A8183F"/>
    <w:rsid w:val="00A81C37"/>
    <w:rsid w:val="00A82ADC"/>
    <w:rsid w:val="00A82BFE"/>
    <w:rsid w:val="00A831EA"/>
    <w:rsid w:val="00A85A5C"/>
    <w:rsid w:val="00A862DE"/>
    <w:rsid w:val="00A87E53"/>
    <w:rsid w:val="00A914B5"/>
    <w:rsid w:val="00A91B57"/>
    <w:rsid w:val="00A94B9E"/>
    <w:rsid w:val="00A96375"/>
    <w:rsid w:val="00A978BE"/>
    <w:rsid w:val="00AA01B6"/>
    <w:rsid w:val="00AA0245"/>
    <w:rsid w:val="00AA0B14"/>
    <w:rsid w:val="00AA1506"/>
    <w:rsid w:val="00AA1828"/>
    <w:rsid w:val="00AA19C9"/>
    <w:rsid w:val="00AA2207"/>
    <w:rsid w:val="00AA2E26"/>
    <w:rsid w:val="00AA3419"/>
    <w:rsid w:val="00AA38E4"/>
    <w:rsid w:val="00AA3D59"/>
    <w:rsid w:val="00AA3F85"/>
    <w:rsid w:val="00AA4A05"/>
    <w:rsid w:val="00AA52DA"/>
    <w:rsid w:val="00AA5B73"/>
    <w:rsid w:val="00AA6CF0"/>
    <w:rsid w:val="00AA7BA5"/>
    <w:rsid w:val="00AB0770"/>
    <w:rsid w:val="00AB0B48"/>
    <w:rsid w:val="00AB18A4"/>
    <w:rsid w:val="00AB2710"/>
    <w:rsid w:val="00AB31E6"/>
    <w:rsid w:val="00AB323C"/>
    <w:rsid w:val="00AB3F5E"/>
    <w:rsid w:val="00AB4084"/>
    <w:rsid w:val="00AB40E1"/>
    <w:rsid w:val="00AB5118"/>
    <w:rsid w:val="00AB5658"/>
    <w:rsid w:val="00AB67E7"/>
    <w:rsid w:val="00AB72E9"/>
    <w:rsid w:val="00AC2865"/>
    <w:rsid w:val="00AC2CD0"/>
    <w:rsid w:val="00AC2DDD"/>
    <w:rsid w:val="00AC4954"/>
    <w:rsid w:val="00AC7D42"/>
    <w:rsid w:val="00AD0D26"/>
    <w:rsid w:val="00AD2EC4"/>
    <w:rsid w:val="00AD3239"/>
    <w:rsid w:val="00AD4EB0"/>
    <w:rsid w:val="00AD5B69"/>
    <w:rsid w:val="00AE08D5"/>
    <w:rsid w:val="00AE12FF"/>
    <w:rsid w:val="00AE1886"/>
    <w:rsid w:val="00AE2FD4"/>
    <w:rsid w:val="00AE363A"/>
    <w:rsid w:val="00AE4039"/>
    <w:rsid w:val="00AE6F02"/>
    <w:rsid w:val="00AE74FC"/>
    <w:rsid w:val="00AE7D35"/>
    <w:rsid w:val="00AF0754"/>
    <w:rsid w:val="00AF2CF2"/>
    <w:rsid w:val="00AF41FE"/>
    <w:rsid w:val="00AF4A7C"/>
    <w:rsid w:val="00AF54EA"/>
    <w:rsid w:val="00AF58D5"/>
    <w:rsid w:val="00AF62F9"/>
    <w:rsid w:val="00AF6560"/>
    <w:rsid w:val="00AF71C1"/>
    <w:rsid w:val="00AF7234"/>
    <w:rsid w:val="00AF7D7F"/>
    <w:rsid w:val="00B0049B"/>
    <w:rsid w:val="00B005B1"/>
    <w:rsid w:val="00B00C54"/>
    <w:rsid w:val="00B02806"/>
    <w:rsid w:val="00B02E4A"/>
    <w:rsid w:val="00B03AED"/>
    <w:rsid w:val="00B03B2F"/>
    <w:rsid w:val="00B04976"/>
    <w:rsid w:val="00B05BBE"/>
    <w:rsid w:val="00B05FE3"/>
    <w:rsid w:val="00B05FFC"/>
    <w:rsid w:val="00B06488"/>
    <w:rsid w:val="00B06691"/>
    <w:rsid w:val="00B06E1A"/>
    <w:rsid w:val="00B07C4C"/>
    <w:rsid w:val="00B112F2"/>
    <w:rsid w:val="00B11571"/>
    <w:rsid w:val="00B138C8"/>
    <w:rsid w:val="00B13E25"/>
    <w:rsid w:val="00B16089"/>
    <w:rsid w:val="00B1655C"/>
    <w:rsid w:val="00B16E29"/>
    <w:rsid w:val="00B22FA1"/>
    <w:rsid w:val="00B23303"/>
    <w:rsid w:val="00B25D20"/>
    <w:rsid w:val="00B2640F"/>
    <w:rsid w:val="00B26507"/>
    <w:rsid w:val="00B311CC"/>
    <w:rsid w:val="00B317E4"/>
    <w:rsid w:val="00B3214A"/>
    <w:rsid w:val="00B336F2"/>
    <w:rsid w:val="00B34EC8"/>
    <w:rsid w:val="00B3504B"/>
    <w:rsid w:val="00B36202"/>
    <w:rsid w:val="00B3629F"/>
    <w:rsid w:val="00B367C5"/>
    <w:rsid w:val="00B3774B"/>
    <w:rsid w:val="00B37FE0"/>
    <w:rsid w:val="00B400F0"/>
    <w:rsid w:val="00B41155"/>
    <w:rsid w:val="00B412D6"/>
    <w:rsid w:val="00B427C8"/>
    <w:rsid w:val="00B42BEB"/>
    <w:rsid w:val="00B43D7B"/>
    <w:rsid w:val="00B479D2"/>
    <w:rsid w:val="00B520A8"/>
    <w:rsid w:val="00B53345"/>
    <w:rsid w:val="00B53A5A"/>
    <w:rsid w:val="00B53C85"/>
    <w:rsid w:val="00B54B59"/>
    <w:rsid w:val="00B57B47"/>
    <w:rsid w:val="00B60232"/>
    <w:rsid w:val="00B60276"/>
    <w:rsid w:val="00B604F3"/>
    <w:rsid w:val="00B60943"/>
    <w:rsid w:val="00B60E6A"/>
    <w:rsid w:val="00B6148E"/>
    <w:rsid w:val="00B61C5E"/>
    <w:rsid w:val="00B61E21"/>
    <w:rsid w:val="00B6227B"/>
    <w:rsid w:val="00B62B48"/>
    <w:rsid w:val="00B642C7"/>
    <w:rsid w:val="00B65E32"/>
    <w:rsid w:val="00B66280"/>
    <w:rsid w:val="00B66CCF"/>
    <w:rsid w:val="00B67CEB"/>
    <w:rsid w:val="00B70547"/>
    <w:rsid w:val="00B72C43"/>
    <w:rsid w:val="00B73881"/>
    <w:rsid w:val="00B745C7"/>
    <w:rsid w:val="00B74E63"/>
    <w:rsid w:val="00B75739"/>
    <w:rsid w:val="00B75D66"/>
    <w:rsid w:val="00B802D8"/>
    <w:rsid w:val="00B8053B"/>
    <w:rsid w:val="00B81D7B"/>
    <w:rsid w:val="00B83497"/>
    <w:rsid w:val="00B856DB"/>
    <w:rsid w:val="00B85B56"/>
    <w:rsid w:val="00B86C23"/>
    <w:rsid w:val="00B876AC"/>
    <w:rsid w:val="00B90699"/>
    <w:rsid w:val="00B906E4"/>
    <w:rsid w:val="00B90B58"/>
    <w:rsid w:val="00B91262"/>
    <w:rsid w:val="00B91A93"/>
    <w:rsid w:val="00B91AFA"/>
    <w:rsid w:val="00B92EC6"/>
    <w:rsid w:val="00B93E86"/>
    <w:rsid w:val="00B93F28"/>
    <w:rsid w:val="00B95049"/>
    <w:rsid w:val="00B9584A"/>
    <w:rsid w:val="00B96405"/>
    <w:rsid w:val="00B968B4"/>
    <w:rsid w:val="00B96D24"/>
    <w:rsid w:val="00BA14F3"/>
    <w:rsid w:val="00BA29D1"/>
    <w:rsid w:val="00BA34E4"/>
    <w:rsid w:val="00BA3849"/>
    <w:rsid w:val="00BA444C"/>
    <w:rsid w:val="00BA4458"/>
    <w:rsid w:val="00BA4523"/>
    <w:rsid w:val="00BA4B30"/>
    <w:rsid w:val="00BA516F"/>
    <w:rsid w:val="00BA7252"/>
    <w:rsid w:val="00BA75C3"/>
    <w:rsid w:val="00BA79DD"/>
    <w:rsid w:val="00BB108A"/>
    <w:rsid w:val="00BB19D0"/>
    <w:rsid w:val="00BB1FA4"/>
    <w:rsid w:val="00BB4326"/>
    <w:rsid w:val="00BB4BDC"/>
    <w:rsid w:val="00BB4CFE"/>
    <w:rsid w:val="00BB5976"/>
    <w:rsid w:val="00BB6AE4"/>
    <w:rsid w:val="00BB7476"/>
    <w:rsid w:val="00BC0A44"/>
    <w:rsid w:val="00BC2C0B"/>
    <w:rsid w:val="00BC639D"/>
    <w:rsid w:val="00BC6720"/>
    <w:rsid w:val="00BC753C"/>
    <w:rsid w:val="00BD0CC9"/>
    <w:rsid w:val="00BD1105"/>
    <w:rsid w:val="00BD1854"/>
    <w:rsid w:val="00BD204C"/>
    <w:rsid w:val="00BD2F25"/>
    <w:rsid w:val="00BD4927"/>
    <w:rsid w:val="00BD4D93"/>
    <w:rsid w:val="00BD51A9"/>
    <w:rsid w:val="00BD5AD7"/>
    <w:rsid w:val="00BD747E"/>
    <w:rsid w:val="00BD7A98"/>
    <w:rsid w:val="00BE1937"/>
    <w:rsid w:val="00BE27FB"/>
    <w:rsid w:val="00BE291D"/>
    <w:rsid w:val="00BE4E6D"/>
    <w:rsid w:val="00BE511B"/>
    <w:rsid w:val="00BE61B1"/>
    <w:rsid w:val="00BE63D9"/>
    <w:rsid w:val="00BE69F6"/>
    <w:rsid w:val="00BE70E5"/>
    <w:rsid w:val="00BE7187"/>
    <w:rsid w:val="00BE72A6"/>
    <w:rsid w:val="00BF0A4C"/>
    <w:rsid w:val="00BF2A08"/>
    <w:rsid w:val="00BF3C8C"/>
    <w:rsid w:val="00BF3E8B"/>
    <w:rsid w:val="00BF4161"/>
    <w:rsid w:val="00BF4A2B"/>
    <w:rsid w:val="00BF5AD8"/>
    <w:rsid w:val="00BF5E50"/>
    <w:rsid w:val="00BF6996"/>
    <w:rsid w:val="00BF799A"/>
    <w:rsid w:val="00C00461"/>
    <w:rsid w:val="00C016AF"/>
    <w:rsid w:val="00C01912"/>
    <w:rsid w:val="00C027B6"/>
    <w:rsid w:val="00C0317C"/>
    <w:rsid w:val="00C04021"/>
    <w:rsid w:val="00C049B6"/>
    <w:rsid w:val="00C04A3A"/>
    <w:rsid w:val="00C04FE3"/>
    <w:rsid w:val="00C056BE"/>
    <w:rsid w:val="00C05DF5"/>
    <w:rsid w:val="00C06C45"/>
    <w:rsid w:val="00C073EE"/>
    <w:rsid w:val="00C07914"/>
    <w:rsid w:val="00C07D8D"/>
    <w:rsid w:val="00C07DF5"/>
    <w:rsid w:val="00C10974"/>
    <w:rsid w:val="00C10B44"/>
    <w:rsid w:val="00C11294"/>
    <w:rsid w:val="00C114F6"/>
    <w:rsid w:val="00C11DCB"/>
    <w:rsid w:val="00C122BA"/>
    <w:rsid w:val="00C127BF"/>
    <w:rsid w:val="00C13BD2"/>
    <w:rsid w:val="00C13C26"/>
    <w:rsid w:val="00C13DD3"/>
    <w:rsid w:val="00C1441B"/>
    <w:rsid w:val="00C1461F"/>
    <w:rsid w:val="00C14895"/>
    <w:rsid w:val="00C14B01"/>
    <w:rsid w:val="00C1522B"/>
    <w:rsid w:val="00C159DE"/>
    <w:rsid w:val="00C17B81"/>
    <w:rsid w:val="00C20117"/>
    <w:rsid w:val="00C20833"/>
    <w:rsid w:val="00C20C8F"/>
    <w:rsid w:val="00C20FFD"/>
    <w:rsid w:val="00C2322D"/>
    <w:rsid w:val="00C24092"/>
    <w:rsid w:val="00C26CF2"/>
    <w:rsid w:val="00C27F63"/>
    <w:rsid w:val="00C31A90"/>
    <w:rsid w:val="00C33262"/>
    <w:rsid w:val="00C347C6"/>
    <w:rsid w:val="00C357FA"/>
    <w:rsid w:val="00C362CD"/>
    <w:rsid w:val="00C36845"/>
    <w:rsid w:val="00C36D14"/>
    <w:rsid w:val="00C427B1"/>
    <w:rsid w:val="00C42C6B"/>
    <w:rsid w:val="00C447F3"/>
    <w:rsid w:val="00C47F94"/>
    <w:rsid w:val="00C50560"/>
    <w:rsid w:val="00C507E0"/>
    <w:rsid w:val="00C50D72"/>
    <w:rsid w:val="00C50DEB"/>
    <w:rsid w:val="00C5194F"/>
    <w:rsid w:val="00C521E8"/>
    <w:rsid w:val="00C5314A"/>
    <w:rsid w:val="00C53CEE"/>
    <w:rsid w:val="00C54184"/>
    <w:rsid w:val="00C56D49"/>
    <w:rsid w:val="00C57D38"/>
    <w:rsid w:val="00C57F09"/>
    <w:rsid w:val="00C57FAC"/>
    <w:rsid w:val="00C60196"/>
    <w:rsid w:val="00C61B1C"/>
    <w:rsid w:val="00C62925"/>
    <w:rsid w:val="00C633C6"/>
    <w:rsid w:val="00C65264"/>
    <w:rsid w:val="00C67ACF"/>
    <w:rsid w:val="00C71567"/>
    <w:rsid w:val="00C72059"/>
    <w:rsid w:val="00C720E1"/>
    <w:rsid w:val="00C73E79"/>
    <w:rsid w:val="00C75157"/>
    <w:rsid w:val="00C76AF6"/>
    <w:rsid w:val="00C76B6D"/>
    <w:rsid w:val="00C77C1F"/>
    <w:rsid w:val="00C80598"/>
    <w:rsid w:val="00C8185C"/>
    <w:rsid w:val="00C8283D"/>
    <w:rsid w:val="00C83F4F"/>
    <w:rsid w:val="00C85DEB"/>
    <w:rsid w:val="00C8643F"/>
    <w:rsid w:val="00C87914"/>
    <w:rsid w:val="00C90F4A"/>
    <w:rsid w:val="00C92940"/>
    <w:rsid w:val="00C94DD0"/>
    <w:rsid w:val="00C950B8"/>
    <w:rsid w:val="00C9597D"/>
    <w:rsid w:val="00C95BBE"/>
    <w:rsid w:val="00C96067"/>
    <w:rsid w:val="00C9607E"/>
    <w:rsid w:val="00C96C78"/>
    <w:rsid w:val="00C974D8"/>
    <w:rsid w:val="00C97851"/>
    <w:rsid w:val="00CA0A6A"/>
    <w:rsid w:val="00CA1AF7"/>
    <w:rsid w:val="00CA1C07"/>
    <w:rsid w:val="00CA2760"/>
    <w:rsid w:val="00CA2A9D"/>
    <w:rsid w:val="00CA764B"/>
    <w:rsid w:val="00CB0234"/>
    <w:rsid w:val="00CB1383"/>
    <w:rsid w:val="00CB1687"/>
    <w:rsid w:val="00CB5023"/>
    <w:rsid w:val="00CB571C"/>
    <w:rsid w:val="00CB7761"/>
    <w:rsid w:val="00CC19D5"/>
    <w:rsid w:val="00CC1B59"/>
    <w:rsid w:val="00CC2B6F"/>
    <w:rsid w:val="00CC2CE6"/>
    <w:rsid w:val="00CC4051"/>
    <w:rsid w:val="00CC40A1"/>
    <w:rsid w:val="00CC5FD2"/>
    <w:rsid w:val="00CC6428"/>
    <w:rsid w:val="00CC6B6A"/>
    <w:rsid w:val="00CC6DF0"/>
    <w:rsid w:val="00CC6EB8"/>
    <w:rsid w:val="00CD1A40"/>
    <w:rsid w:val="00CD1FE0"/>
    <w:rsid w:val="00CD3A2D"/>
    <w:rsid w:val="00CD43C7"/>
    <w:rsid w:val="00CD5501"/>
    <w:rsid w:val="00CD575C"/>
    <w:rsid w:val="00CD7998"/>
    <w:rsid w:val="00CE1758"/>
    <w:rsid w:val="00CE2767"/>
    <w:rsid w:val="00CE27FB"/>
    <w:rsid w:val="00CE38DE"/>
    <w:rsid w:val="00CE56AF"/>
    <w:rsid w:val="00CE5821"/>
    <w:rsid w:val="00CE6232"/>
    <w:rsid w:val="00CE639E"/>
    <w:rsid w:val="00CE674C"/>
    <w:rsid w:val="00CE6CBE"/>
    <w:rsid w:val="00CE76AE"/>
    <w:rsid w:val="00CF04B4"/>
    <w:rsid w:val="00CF0B19"/>
    <w:rsid w:val="00CF2DA4"/>
    <w:rsid w:val="00CF2F7F"/>
    <w:rsid w:val="00CF4F9F"/>
    <w:rsid w:val="00CF5DE5"/>
    <w:rsid w:val="00CF6EA2"/>
    <w:rsid w:val="00CF7CD7"/>
    <w:rsid w:val="00D0071E"/>
    <w:rsid w:val="00D0112C"/>
    <w:rsid w:val="00D01334"/>
    <w:rsid w:val="00D017E4"/>
    <w:rsid w:val="00D02844"/>
    <w:rsid w:val="00D02924"/>
    <w:rsid w:val="00D02AC4"/>
    <w:rsid w:val="00D03F8C"/>
    <w:rsid w:val="00D04554"/>
    <w:rsid w:val="00D07B2F"/>
    <w:rsid w:val="00D07B3A"/>
    <w:rsid w:val="00D104D2"/>
    <w:rsid w:val="00D10C0C"/>
    <w:rsid w:val="00D12788"/>
    <w:rsid w:val="00D141AD"/>
    <w:rsid w:val="00D15429"/>
    <w:rsid w:val="00D1659E"/>
    <w:rsid w:val="00D173AF"/>
    <w:rsid w:val="00D17580"/>
    <w:rsid w:val="00D200AD"/>
    <w:rsid w:val="00D202D3"/>
    <w:rsid w:val="00D20992"/>
    <w:rsid w:val="00D20FB3"/>
    <w:rsid w:val="00D223A8"/>
    <w:rsid w:val="00D2253C"/>
    <w:rsid w:val="00D22780"/>
    <w:rsid w:val="00D242D2"/>
    <w:rsid w:val="00D2541F"/>
    <w:rsid w:val="00D2714D"/>
    <w:rsid w:val="00D3071A"/>
    <w:rsid w:val="00D31C08"/>
    <w:rsid w:val="00D32AD6"/>
    <w:rsid w:val="00D343C6"/>
    <w:rsid w:val="00D34ED0"/>
    <w:rsid w:val="00D35C36"/>
    <w:rsid w:val="00D3676A"/>
    <w:rsid w:val="00D36A6E"/>
    <w:rsid w:val="00D37D6C"/>
    <w:rsid w:val="00D40E14"/>
    <w:rsid w:val="00D41583"/>
    <w:rsid w:val="00D4170A"/>
    <w:rsid w:val="00D418DC"/>
    <w:rsid w:val="00D42AF5"/>
    <w:rsid w:val="00D449DB"/>
    <w:rsid w:val="00D45CA4"/>
    <w:rsid w:val="00D46BBF"/>
    <w:rsid w:val="00D47320"/>
    <w:rsid w:val="00D47BC4"/>
    <w:rsid w:val="00D5063C"/>
    <w:rsid w:val="00D51206"/>
    <w:rsid w:val="00D51E39"/>
    <w:rsid w:val="00D52B91"/>
    <w:rsid w:val="00D52C55"/>
    <w:rsid w:val="00D53ECE"/>
    <w:rsid w:val="00D540A1"/>
    <w:rsid w:val="00D54A68"/>
    <w:rsid w:val="00D550BF"/>
    <w:rsid w:val="00D55600"/>
    <w:rsid w:val="00D55730"/>
    <w:rsid w:val="00D571C2"/>
    <w:rsid w:val="00D57C49"/>
    <w:rsid w:val="00D6003E"/>
    <w:rsid w:val="00D60116"/>
    <w:rsid w:val="00D6142A"/>
    <w:rsid w:val="00D620A6"/>
    <w:rsid w:val="00D627C5"/>
    <w:rsid w:val="00D659E0"/>
    <w:rsid w:val="00D659E6"/>
    <w:rsid w:val="00D668F6"/>
    <w:rsid w:val="00D6764B"/>
    <w:rsid w:val="00D73C8C"/>
    <w:rsid w:val="00D74651"/>
    <w:rsid w:val="00D74A61"/>
    <w:rsid w:val="00D7647E"/>
    <w:rsid w:val="00D76D0E"/>
    <w:rsid w:val="00D770FB"/>
    <w:rsid w:val="00D779E1"/>
    <w:rsid w:val="00D807A3"/>
    <w:rsid w:val="00D811C4"/>
    <w:rsid w:val="00D82D6F"/>
    <w:rsid w:val="00D83ADE"/>
    <w:rsid w:val="00D84F3B"/>
    <w:rsid w:val="00D858BA"/>
    <w:rsid w:val="00D879D8"/>
    <w:rsid w:val="00D90A19"/>
    <w:rsid w:val="00D92657"/>
    <w:rsid w:val="00D92D38"/>
    <w:rsid w:val="00D937DD"/>
    <w:rsid w:val="00D940B1"/>
    <w:rsid w:val="00D95497"/>
    <w:rsid w:val="00D97B42"/>
    <w:rsid w:val="00DA02B9"/>
    <w:rsid w:val="00DA0782"/>
    <w:rsid w:val="00DA0F6A"/>
    <w:rsid w:val="00DA2C7A"/>
    <w:rsid w:val="00DA3307"/>
    <w:rsid w:val="00DA33EB"/>
    <w:rsid w:val="00DA4662"/>
    <w:rsid w:val="00DA4EFF"/>
    <w:rsid w:val="00DA7471"/>
    <w:rsid w:val="00DB0124"/>
    <w:rsid w:val="00DB0C92"/>
    <w:rsid w:val="00DB1C93"/>
    <w:rsid w:val="00DB1D92"/>
    <w:rsid w:val="00DB2413"/>
    <w:rsid w:val="00DB2E1A"/>
    <w:rsid w:val="00DB2E43"/>
    <w:rsid w:val="00DB43EB"/>
    <w:rsid w:val="00DB5214"/>
    <w:rsid w:val="00DB6E94"/>
    <w:rsid w:val="00DB7334"/>
    <w:rsid w:val="00DC0DB5"/>
    <w:rsid w:val="00DC1D0A"/>
    <w:rsid w:val="00DC1E94"/>
    <w:rsid w:val="00DC2670"/>
    <w:rsid w:val="00DC3E5A"/>
    <w:rsid w:val="00DC427A"/>
    <w:rsid w:val="00DC5288"/>
    <w:rsid w:val="00DC599B"/>
    <w:rsid w:val="00DC599D"/>
    <w:rsid w:val="00DC5B47"/>
    <w:rsid w:val="00DC5DDB"/>
    <w:rsid w:val="00DC6A16"/>
    <w:rsid w:val="00DC7318"/>
    <w:rsid w:val="00DD0E06"/>
    <w:rsid w:val="00DD108C"/>
    <w:rsid w:val="00DD1734"/>
    <w:rsid w:val="00DD2072"/>
    <w:rsid w:val="00DD2B33"/>
    <w:rsid w:val="00DD35A4"/>
    <w:rsid w:val="00DD41A7"/>
    <w:rsid w:val="00DD4203"/>
    <w:rsid w:val="00DD4702"/>
    <w:rsid w:val="00DD5416"/>
    <w:rsid w:val="00DD6203"/>
    <w:rsid w:val="00DD641E"/>
    <w:rsid w:val="00DD68EF"/>
    <w:rsid w:val="00DD765C"/>
    <w:rsid w:val="00DE13C9"/>
    <w:rsid w:val="00DE2138"/>
    <w:rsid w:val="00DE2424"/>
    <w:rsid w:val="00DE346D"/>
    <w:rsid w:val="00DE35D4"/>
    <w:rsid w:val="00DE3E27"/>
    <w:rsid w:val="00DE4A99"/>
    <w:rsid w:val="00DE61A0"/>
    <w:rsid w:val="00DE7543"/>
    <w:rsid w:val="00DF1950"/>
    <w:rsid w:val="00DF195D"/>
    <w:rsid w:val="00DF2529"/>
    <w:rsid w:val="00DF2CFE"/>
    <w:rsid w:val="00DF2E56"/>
    <w:rsid w:val="00DF3B57"/>
    <w:rsid w:val="00DF5848"/>
    <w:rsid w:val="00DF6DE6"/>
    <w:rsid w:val="00DF7CD8"/>
    <w:rsid w:val="00E04437"/>
    <w:rsid w:val="00E0492D"/>
    <w:rsid w:val="00E04E04"/>
    <w:rsid w:val="00E11347"/>
    <w:rsid w:val="00E123DD"/>
    <w:rsid w:val="00E14F90"/>
    <w:rsid w:val="00E15B96"/>
    <w:rsid w:val="00E16A05"/>
    <w:rsid w:val="00E16C9A"/>
    <w:rsid w:val="00E21C01"/>
    <w:rsid w:val="00E22639"/>
    <w:rsid w:val="00E2397F"/>
    <w:rsid w:val="00E23CB8"/>
    <w:rsid w:val="00E23DA3"/>
    <w:rsid w:val="00E24FDA"/>
    <w:rsid w:val="00E256E2"/>
    <w:rsid w:val="00E258D8"/>
    <w:rsid w:val="00E263C7"/>
    <w:rsid w:val="00E27AE0"/>
    <w:rsid w:val="00E302B0"/>
    <w:rsid w:val="00E3177E"/>
    <w:rsid w:val="00E32EA6"/>
    <w:rsid w:val="00E32F3E"/>
    <w:rsid w:val="00E33CB5"/>
    <w:rsid w:val="00E34456"/>
    <w:rsid w:val="00E34AC3"/>
    <w:rsid w:val="00E35144"/>
    <w:rsid w:val="00E35726"/>
    <w:rsid w:val="00E35A0F"/>
    <w:rsid w:val="00E35B7B"/>
    <w:rsid w:val="00E360F8"/>
    <w:rsid w:val="00E364BC"/>
    <w:rsid w:val="00E37071"/>
    <w:rsid w:val="00E41463"/>
    <w:rsid w:val="00E436CA"/>
    <w:rsid w:val="00E45675"/>
    <w:rsid w:val="00E4572A"/>
    <w:rsid w:val="00E45829"/>
    <w:rsid w:val="00E46979"/>
    <w:rsid w:val="00E5026C"/>
    <w:rsid w:val="00E509A2"/>
    <w:rsid w:val="00E509A6"/>
    <w:rsid w:val="00E50BB0"/>
    <w:rsid w:val="00E524B1"/>
    <w:rsid w:val="00E532C4"/>
    <w:rsid w:val="00E554A1"/>
    <w:rsid w:val="00E55A00"/>
    <w:rsid w:val="00E56D43"/>
    <w:rsid w:val="00E573D4"/>
    <w:rsid w:val="00E573E3"/>
    <w:rsid w:val="00E57751"/>
    <w:rsid w:val="00E60A52"/>
    <w:rsid w:val="00E611EB"/>
    <w:rsid w:val="00E62490"/>
    <w:rsid w:val="00E63F85"/>
    <w:rsid w:val="00E66A90"/>
    <w:rsid w:val="00E66C08"/>
    <w:rsid w:val="00E7026D"/>
    <w:rsid w:val="00E7028B"/>
    <w:rsid w:val="00E70544"/>
    <w:rsid w:val="00E7117C"/>
    <w:rsid w:val="00E71608"/>
    <w:rsid w:val="00E71BAD"/>
    <w:rsid w:val="00E72213"/>
    <w:rsid w:val="00E7234A"/>
    <w:rsid w:val="00E7247F"/>
    <w:rsid w:val="00E72A1D"/>
    <w:rsid w:val="00E762E3"/>
    <w:rsid w:val="00E76C41"/>
    <w:rsid w:val="00E76F56"/>
    <w:rsid w:val="00E7758A"/>
    <w:rsid w:val="00E804BC"/>
    <w:rsid w:val="00E80701"/>
    <w:rsid w:val="00E80A82"/>
    <w:rsid w:val="00E80E4C"/>
    <w:rsid w:val="00E80FF1"/>
    <w:rsid w:val="00E815FC"/>
    <w:rsid w:val="00E81D6A"/>
    <w:rsid w:val="00E823BE"/>
    <w:rsid w:val="00E83903"/>
    <w:rsid w:val="00E83A73"/>
    <w:rsid w:val="00E8480E"/>
    <w:rsid w:val="00E852E9"/>
    <w:rsid w:val="00E85B7E"/>
    <w:rsid w:val="00E86142"/>
    <w:rsid w:val="00E872F4"/>
    <w:rsid w:val="00E872FA"/>
    <w:rsid w:val="00E87590"/>
    <w:rsid w:val="00E90AAE"/>
    <w:rsid w:val="00E910AD"/>
    <w:rsid w:val="00E938F7"/>
    <w:rsid w:val="00E93926"/>
    <w:rsid w:val="00E942E3"/>
    <w:rsid w:val="00E964AC"/>
    <w:rsid w:val="00E96966"/>
    <w:rsid w:val="00E97D5F"/>
    <w:rsid w:val="00E97F3E"/>
    <w:rsid w:val="00EA03AE"/>
    <w:rsid w:val="00EA2530"/>
    <w:rsid w:val="00EA2628"/>
    <w:rsid w:val="00EA2D52"/>
    <w:rsid w:val="00EA2F4D"/>
    <w:rsid w:val="00EA32C7"/>
    <w:rsid w:val="00EA3412"/>
    <w:rsid w:val="00EA4372"/>
    <w:rsid w:val="00EA44D1"/>
    <w:rsid w:val="00EA4D59"/>
    <w:rsid w:val="00EA4DD7"/>
    <w:rsid w:val="00EA5EF1"/>
    <w:rsid w:val="00EA6659"/>
    <w:rsid w:val="00EA6890"/>
    <w:rsid w:val="00EA756C"/>
    <w:rsid w:val="00EB070F"/>
    <w:rsid w:val="00EB21F7"/>
    <w:rsid w:val="00EB2627"/>
    <w:rsid w:val="00EB2B46"/>
    <w:rsid w:val="00EB3424"/>
    <w:rsid w:val="00EB3CE3"/>
    <w:rsid w:val="00EB4C59"/>
    <w:rsid w:val="00EB634A"/>
    <w:rsid w:val="00EB68BB"/>
    <w:rsid w:val="00EB7B92"/>
    <w:rsid w:val="00EB7D6D"/>
    <w:rsid w:val="00EC0988"/>
    <w:rsid w:val="00EC0996"/>
    <w:rsid w:val="00EC0D75"/>
    <w:rsid w:val="00EC0F16"/>
    <w:rsid w:val="00EC10B6"/>
    <w:rsid w:val="00EC285D"/>
    <w:rsid w:val="00EC4435"/>
    <w:rsid w:val="00EC7F32"/>
    <w:rsid w:val="00ED0CED"/>
    <w:rsid w:val="00ED501E"/>
    <w:rsid w:val="00ED6C7C"/>
    <w:rsid w:val="00ED7D18"/>
    <w:rsid w:val="00ED7D9D"/>
    <w:rsid w:val="00ED7DB5"/>
    <w:rsid w:val="00EE0D99"/>
    <w:rsid w:val="00EE119B"/>
    <w:rsid w:val="00EE1F0B"/>
    <w:rsid w:val="00EE3972"/>
    <w:rsid w:val="00EE446C"/>
    <w:rsid w:val="00EE6F13"/>
    <w:rsid w:val="00EE7DE8"/>
    <w:rsid w:val="00EF3456"/>
    <w:rsid w:val="00EF49E5"/>
    <w:rsid w:val="00EF5FFB"/>
    <w:rsid w:val="00EF60B8"/>
    <w:rsid w:val="00EF67D8"/>
    <w:rsid w:val="00EF6FC8"/>
    <w:rsid w:val="00EF734D"/>
    <w:rsid w:val="00EF7AE6"/>
    <w:rsid w:val="00F03AA6"/>
    <w:rsid w:val="00F04552"/>
    <w:rsid w:val="00F05941"/>
    <w:rsid w:val="00F05A84"/>
    <w:rsid w:val="00F05C25"/>
    <w:rsid w:val="00F05D58"/>
    <w:rsid w:val="00F07E82"/>
    <w:rsid w:val="00F1378A"/>
    <w:rsid w:val="00F14092"/>
    <w:rsid w:val="00F14927"/>
    <w:rsid w:val="00F15A39"/>
    <w:rsid w:val="00F169DF"/>
    <w:rsid w:val="00F17A45"/>
    <w:rsid w:val="00F17DFE"/>
    <w:rsid w:val="00F2048D"/>
    <w:rsid w:val="00F20918"/>
    <w:rsid w:val="00F224A3"/>
    <w:rsid w:val="00F243C1"/>
    <w:rsid w:val="00F25FDF"/>
    <w:rsid w:val="00F32C92"/>
    <w:rsid w:val="00F3359D"/>
    <w:rsid w:val="00F347EE"/>
    <w:rsid w:val="00F34E39"/>
    <w:rsid w:val="00F355E2"/>
    <w:rsid w:val="00F35C6C"/>
    <w:rsid w:val="00F35FF8"/>
    <w:rsid w:val="00F363C6"/>
    <w:rsid w:val="00F3782B"/>
    <w:rsid w:val="00F3799F"/>
    <w:rsid w:val="00F40049"/>
    <w:rsid w:val="00F436FD"/>
    <w:rsid w:val="00F43D65"/>
    <w:rsid w:val="00F44EB8"/>
    <w:rsid w:val="00F46820"/>
    <w:rsid w:val="00F46E72"/>
    <w:rsid w:val="00F47759"/>
    <w:rsid w:val="00F5062C"/>
    <w:rsid w:val="00F515C6"/>
    <w:rsid w:val="00F51CCE"/>
    <w:rsid w:val="00F51F10"/>
    <w:rsid w:val="00F53A33"/>
    <w:rsid w:val="00F541B3"/>
    <w:rsid w:val="00F54CC5"/>
    <w:rsid w:val="00F56B1A"/>
    <w:rsid w:val="00F57535"/>
    <w:rsid w:val="00F5753B"/>
    <w:rsid w:val="00F5775E"/>
    <w:rsid w:val="00F607E7"/>
    <w:rsid w:val="00F61519"/>
    <w:rsid w:val="00F61F7A"/>
    <w:rsid w:val="00F62BA2"/>
    <w:rsid w:val="00F63405"/>
    <w:rsid w:val="00F6388B"/>
    <w:rsid w:val="00F63D77"/>
    <w:rsid w:val="00F6504F"/>
    <w:rsid w:val="00F650BB"/>
    <w:rsid w:val="00F65B70"/>
    <w:rsid w:val="00F7106A"/>
    <w:rsid w:val="00F711B5"/>
    <w:rsid w:val="00F71346"/>
    <w:rsid w:val="00F72089"/>
    <w:rsid w:val="00F72DFC"/>
    <w:rsid w:val="00F733FC"/>
    <w:rsid w:val="00F73F0A"/>
    <w:rsid w:val="00F74286"/>
    <w:rsid w:val="00F7636E"/>
    <w:rsid w:val="00F76C27"/>
    <w:rsid w:val="00F80E2F"/>
    <w:rsid w:val="00F821CC"/>
    <w:rsid w:val="00F8285C"/>
    <w:rsid w:val="00F82CD3"/>
    <w:rsid w:val="00F831D1"/>
    <w:rsid w:val="00F83946"/>
    <w:rsid w:val="00F84422"/>
    <w:rsid w:val="00F84424"/>
    <w:rsid w:val="00F84FE6"/>
    <w:rsid w:val="00F85007"/>
    <w:rsid w:val="00F85751"/>
    <w:rsid w:val="00F85D5A"/>
    <w:rsid w:val="00F865D1"/>
    <w:rsid w:val="00F86638"/>
    <w:rsid w:val="00F90DDA"/>
    <w:rsid w:val="00F91904"/>
    <w:rsid w:val="00F91C60"/>
    <w:rsid w:val="00F92378"/>
    <w:rsid w:val="00F963D9"/>
    <w:rsid w:val="00F9672C"/>
    <w:rsid w:val="00F973B8"/>
    <w:rsid w:val="00F97F7C"/>
    <w:rsid w:val="00FA04EB"/>
    <w:rsid w:val="00FA0660"/>
    <w:rsid w:val="00FA122B"/>
    <w:rsid w:val="00FA3A0A"/>
    <w:rsid w:val="00FA4CB8"/>
    <w:rsid w:val="00FA6E9C"/>
    <w:rsid w:val="00FB0BC5"/>
    <w:rsid w:val="00FB1239"/>
    <w:rsid w:val="00FB2391"/>
    <w:rsid w:val="00FB23A6"/>
    <w:rsid w:val="00FB2AC4"/>
    <w:rsid w:val="00FB3050"/>
    <w:rsid w:val="00FB5D1A"/>
    <w:rsid w:val="00FB5FE2"/>
    <w:rsid w:val="00FB680C"/>
    <w:rsid w:val="00FB7AA2"/>
    <w:rsid w:val="00FC12D3"/>
    <w:rsid w:val="00FC1E05"/>
    <w:rsid w:val="00FC20AF"/>
    <w:rsid w:val="00FC2B22"/>
    <w:rsid w:val="00FC3328"/>
    <w:rsid w:val="00FC37F1"/>
    <w:rsid w:val="00FC38A1"/>
    <w:rsid w:val="00FC38AD"/>
    <w:rsid w:val="00FC3D3B"/>
    <w:rsid w:val="00FC4587"/>
    <w:rsid w:val="00FC5C1B"/>
    <w:rsid w:val="00FC770A"/>
    <w:rsid w:val="00FD071C"/>
    <w:rsid w:val="00FD112A"/>
    <w:rsid w:val="00FD31AC"/>
    <w:rsid w:val="00FD3B7D"/>
    <w:rsid w:val="00FD3BA1"/>
    <w:rsid w:val="00FD4C2D"/>
    <w:rsid w:val="00FD4E1C"/>
    <w:rsid w:val="00FD542C"/>
    <w:rsid w:val="00FD5601"/>
    <w:rsid w:val="00FD5F80"/>
    <w:rsid w:val="00FD6124"/>
    <w:rsid w:val="00FD67A8"/>
    <w:rsid w:val="00FD6D07"/>
    <w:rsid w:val="00FD7AB1"/>
    <w:rsid w:val="00FD7E99"/>
    <w:rsid w:val="00FE14E9"/>
    <w:rsid w:val="00FE1CE3"/>
    <w:rsid w:val="00FE1D9B"/>
    <w:rsid w:val="00FE23CE"/>
    <w:rsid w:val="00FE25A5"/>
    <w:rsid w:val="00FE2848"/>
    <w:rsid w:val="00FE29DC"/>
    <w:rsid w:val="00FE2B1C"/>
    <w:rsid w:val="00FE4E01"/>
    <w:rsid w:val="00FE5767"/>
    <w:rsid w:val="00FE5D7C"/>
    <w:rsid w:val="00FE7513"/>
    <w:rsid w:val="00FF1AED"/>
    <w:rsid w:val="00FF1C7B"/>
    <w:rsid w:val="00FF529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356D"/>
  <w15:chartTrackingRefBased/>
  <w15:docId w15:val="{A76AA2A9-07C6-4C18-A556-D151480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173"/>
    <w:pPr>
      <w:spacing w:before="120" w:after="120"/>
      <w:jc w:val="both"/>
    </w:pPr>
    <w:rPr>
      <w:sz w:val="24"/>
      <w:szCs w:val="24"/>
      <w:lang w:val="en-GB" w:eastAsia="de-DE"/>
    </w:rPr>
  </w:style>
  <w:style w:type="paragraph" w:styleId="Ttulo1">
    <w:name w:val="heading 1"/>
    <w:basedOn w:val="Normal"/>
    <w:next w:val="Text1"/>
    <w:qFormat/>
    <w:rsid w:val="00AB2710"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Ttulo2">
    <w:name w:val="heading 2"/>
    <w:basedOn w:val="Normal"/>
    <w:next w:val="Text2"/>
    <w:qFormat/>
    <w:rsid w:val="00AB2710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qFormat/>
    <w:rsid w:val="00AB2710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Ttulo4">
    <w:name w:val="heading 4"/>
    <w:basedOn w:val="Normal"/>
    <w:next w:val="Normal"/>
    <w:qFormat/>
    <w:rsid w:val="00AB2710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B271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Text1">
    <w:name w:val="Text 1"/>
    <w:basedOn w:val="Normal"/>
    <w:rsid w:val="00AB2710"/>
    <w:pPr>
      <w:ind w:left="850"/>
    </w:pPr>
  </w:style>
  <w:style w:type="paragraph" w:customStyle="1" w:styleId="Text2">
    <w:name w:val="Text 2"/>
    <w:basedOn w:val="Normal"/>
    <w:rsid w:val="00AB2710"/>
    <w:pPr>
      <w:ind w:left="850"/>
    </w:pPr>
  </w:style>
  <w:style w:type="paragraph" w:customStyle="1" w:styleId="NormalCentered">
    <w:name w:val="Normal Centered"/>
    <w:basedOn w:val="Normal"/>
    <w:rsid w:val="00AB2710"/>
    <w:pPr>
      <w:jc w:val="center"/>
    </w:pPr>
  </w:style>
  <w:style w:type="paragraph" w:customStyle="1" w:styleId="ChapterTitle">
    <w:name w:val="ChapterTitle"/>
    <w:basedOn w:val="Normal"/>
    <w:next w:val="Normal"/>
    <w:rsid w:val="00AB2710"/>
    <w:pPr>
      <w:keepNext/>
      <w:spacing w:after="360"/>
      <w:jc w:val="center"/>
    </w:pPr>
    <w:rPr>
      <w:b/>
      <w:sz w:val="32"/>
    </w:rPr>
  </w:style>
  <w:style w:type="paragraph" w:styleId="Encabezado">
    <w:name w:val="header"/>
    <w:basedOn w:val="Normal"/>
    <w:rsid w:val="00AB2710"/>
    <w:pPr>
      <w:tabs>
        <w:tab w:val="center" w:pos="4536"/>
        <w:tab w:val="right" w:pos="9072"/>
      </w:tabs>
    </w:pPr>
  </w:style>
  <w:style w:type="paragraph" w:customStyle="1" w:styleId="ListDash1">
    <w:name w:val="List Dash 1"/>
    <w:basedOn w:val="Normal"/>
    <w:rsid w:val="005D3638"/>
    <w:pPr>
      <w:numPr>
        <w:numId w:val="2"/>
      </w:numPr>
    </w:pPr>
    <w:rPr>
      <w:snapToGrid w:val="0"/>
      <w:lang w:val="el-GR" w:eastAsia="en-GB"/>
    </w:rPr>
  </w:style>
  <w:style w:type="paragraph" w:customStyle="1" w:styleId="Annexetitreglobale">
    <w:name w:val="Annexe titre (globale)"/>
    <w:basedOn w:val="Normal"/>
    <w:next w:val="Normal"/>
    <w:rsid w:val="007F6A3D"/>
    <w:pPr>
      <w:jc w:val="center"/>
    </w:pPr>
    <w:rPr>
      <w:b/>
      <w:u w:val="single"/>
    </w:rPr>
  </w:style>
  <w:style w:type="paragraph" w:customStyle="1" w:styleId="Langue">
    <w:name w:val="Langue"/>
    <w:basedOn w:val="Normal"/>
    <w:next w:val="Normal"/>
    <w:rsid w:val="007F6A3D"/>
    <w:pPr>
      <w:spacing w:before="0" w:after="600"/>
      <w:jc w:val="center"/>
    </w:pPr>
    <w:rPr>
      <w:b/>
      <w:caps/>
    </w:rPr>
  </w:style>
  <w:style w:type="paragraph" w:styleId="Textonotapie">
    <w:name w:val="footnote text"/>
    <w:basedOn w:val="Normal"/>
    <w:link w:val="TextonotapieCar"/>
    <w:rsid w:val="001D092C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1D092C"/>
    <w:rPr>
      <w:lang w:eastAsia="de-DE"/>
    </w:rPr>
  </w:style>
  <w:style w:type="character" w:styleId="Refdenotaalpie">
    <w:name w:val="footnote reference"/>
    <w:rsid w:val="001D092C"/>
    <w:rPr>
      <w:vertAlign w:val="superscript"/>
    </w:rPr>
  </w:style>
  <w:style w:type="paragraph" w:styleId="Textodeglobo">
    <w:name w:val="Balloon Text"/>
    <w:basedOn w:val="Normal"/>
    <w:link w:val="TextodegloboCar"/>
    <w:rsid w:val="002B161E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2B161E"/>
    <w:rPr>
      <w:rFonts w:ascii="Tahoma" w:hAnsi="Tahoma" w:cs="Tahoma"/>
      <w:sz w:val="16"/>
      <w:szCs w:val="16"/>
      <w:lang w:eastAsia="de-DE"/>
    </w:rPr>
  </w:style>
  <w:style w:type="paragraph" w:styleId="Textoindependiente">
    <w:name w:val="Body Text"/>
    <w:basedOn w:val="Normal"/>
    <w:link w:val="TextoindependienteCar"/>
    <w:rsid w:val="00DB1D92"/>
    <w:rPr>
      <w:snapToGrid w:val="0"/>
      <w:lang w:val="es-ES_tradnl" w:eastAsia="en-GB"/>
    </w:rPr>
  </w:style>
  <w:style w:type="character" w:customStyle="1" w:styleId="TextoindependienteCar">
    <w:name w:val="Texto independiente Car"/>
    <w:link w:val="Textoindependiente"/>
    <w:rsid w:val="00DB1D92"/>
    <w:rPr>
      <w:snapToGrid w:val="0"/>
      <w:sz w:val="24"/>
      <w:szCs w:val="24"/>
      <w:lang w:val="es-ES_tradnl" w:eastAsia="en-GB"/>
    </w:rPr>
  </w:style>
  <w:style w:type="character" w:customStyle="1" w:styleId="large1">
    <w:name w:val="large1"/>
    <w:rsid w:val="00EA2628"/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364DF6"/>
    <w:pPr>
      <w:ind w:left="708"/>
    </w:pPr>
  </w:style>
  <w:style w:type="character" w:styleId="Refdecomentario">
    <w:name w:val="annotation reference"/>
    <w:uiPriority w:val="99"/>
    <w:rsid w:val="006D09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0981"/>
    <w:rPr>
      <w:sz w:val="20"/>
      <w:szCs w:val="20"/>
    </w:rPr>
  </w:style>
  <w:style w:type="character" w:customStyle="1" w:styleId="TextocomentarioCar">
    <w:name w:val="Texto comentario Car"/>
    <w:link w:val="Textocomentario"/>
    <w:rsid w:val="006D0981"/>
    <w:rPr>
      <w:lang w:val="en-GB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D0981"/>
    <w:rPr>
      <w:b/>
      <w:bCs/>
    </w:rPr>
  </w:style>
  <w:style w:type="character" w:customStyle="1" w:styleId="AsuntodelcomentarioCar">
    <w:name w:val="Asunto del comentario Car"/>
    <w:link w:val="Asuntodelcomentario"/>
    <w:rsid w:val="006D0981"/>
    <w:rPr>
      <w:b/>
      <w:bCs/>
      <w:lang w:val="en-GB" w:eastAsia="de-DE"/>
    </w:rPr>
  </w:style>
  <w:style w:type="character" w:styleId="Hipervnculo">
    <w:name w:val="Hyperlink"/>
    <w:rsid w:val="00771364"/>
    <w:rPr>
      <w:color w:val="0563C1"/>
      <w:u w:val="single"/>
    </w:rPr>
  </w:style>
  <w:style w:type="paragraph" w:styleId="Sangradetextonormal">
    <w:name w:val="Body Text Indent"/>
    <w:basedOn w:val="Normal"/>
    <w:link w:val="SangradetextonormalCar"/>
    <w:rsid w:val="005D388E"/>
    <w:pPr>
      <w:ind w:left="283"/>
    </w:pPr>
  </w:style>
  <w:style w:type="character" w:customStyle="1" w:styleId="SangradetextonormalCar">
    <w:name w:val="Sangría de texto normal Car"/>
    <w:link w:val="Sangradetextonormal"/>
    <w:rsid w:val="005D388E"/>
    <w:rPr>
      <w:sz w:val="24"/>
      <w:szCs w:val="24"/>
      <w:lang w:val="en-GB" w:eastAsia="de-DE"/>
    </w:rPr>
  </w:style>
  <w:style w:type="paragraph" w:styleId="Revisin">
    <w:name w:val="Revision"/>
    <w:hidden/>
    <w:uiPriority w:val="99"/>
    <w:semiHidden/>
    <w:rsid w:val="006653A0"/>
    <w:rPr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2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0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6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5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5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5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2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7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8635-BEC1-4565-B9EC-8CAABC6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1387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APROBACIÓN DE UNA MODIFICACIÓN QUE NO SE CONSIDERA MENOR DEL PLIEGO DE CONDICIONES DE LAS DENOMINACIONES DE ORIGEN PROTEGIDAS O DE LAS INDICACIONES GEOGRÁFICAS PROTEGIDAS</vt:lpstr>
      <vt:lpstr>Publication of an application pursuant to Article 6(2) of Council Regulation (EC) No 510/2006 on the protection of geographical indications and designations of origin for agricultural products and foodstuffs</vt:lpstr>
    </vt:vector>
  </TitlesOfParts>
  <Company>European Commission</Company>
  <LinksUpToDate>false</LinksUpToDate>
  <CharactersWithSpaces>9066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mailto:dgia@magrama.es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APROBACIÓN DE UNA MODIFICACIÓN QUE NO SE CONSIDERA MENOR DEL PLIEGO DE CONDICIONES DE LAS DENOMINACIONES DE ORIGEN PROTEGIDAS O DE LAS INDICACIONES GEOGRÁFICAS PROTEGIDAS</dc:title>
  <dc:subject/>
  <dc:creator>keegaba</dc:creator>
  <cp:keywords/>
  <cp:lastModifiedBy>De Santos Carretero, Monica</cp:lastModifiedBy>
  <cp:revision>2</cp:revision>
  <cp:lastPrinted>2015-10-29T10:38:00Z</cp:lastPrinted>
  <dcterms:created xsi:type="dcterms:W3CDTF">2024-01-24T12:15:00Z</dcterms:created>
  <dcterms:modified xsi:type="dcterms:W3CDTF">2024-01-24T12:15:00Z</dcterms:modified>
</cp:coreProperties>
</file>