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BC371" w14:textId="77777777" w:rsidR="00AC1891" w:rsidRPr="009B30A1" w:rsidRDefault="00AC1891" w:rsidP="00AC1891">
      <w:pPr>
        <w:spacing w:after="0"/>
        <w:jc w:val="both"/>
        <w:rPr>
          <w:rFonts w:cstheme="minorHAnsi"/>
          <w:b/>
          <w:bCs/>
          <w:sz w:val="16"/>
          <w:szCs w:val="16"/>
          <w:u w:val="single"/>
        </w:rPr>
      </w:pPr>
    </w:p>
    <w:p w14:paraId="12427104" w14:textId="4DF07BC5" w:rsidR="00DC2FBC" w:rsidRPr="00870434" w:rsidRDefault="00870434" w:rsidP="00870434">
      <w:pPr>
        <w:spacing w:after="0" w:line="276" w:lineRule="auto"/>
        <w:ind w:left="-284"/>
        <w:jc w:val="both"/>
        <w:rPr>
          <w:rFonts w:cstheme="minorHAnsi"/>
          <w:b/>
          <w:bCs/>
          <w:sz w:val="24"/>
          <w:szCs w:val="24"/>
        </w:rPr>
      </w:pPr>
      <w:r w:rsidRPr="00870434">
        <w:rPr>
          <w:rFonts w:cstheme="minorHAnsi"/>
          <w:b/>
          <w:bCs/>
          <w:sz w:val="24"/>
          <w:szCs w:val="24"/>
        </w:rPr>
        <w:t xml:space="preserve">Resolución de </w:t>
      </w:r>
      <w:r w:rsidR="005A0B98" w:rsidRPr="005A0B98">
        <w:rPr>
          <w:rFonts w:cstheme="minorHAnsi"/>
          <w:b/>
          <w:bCs/>
          <w:sz w:val="24"/>
          <w:szCs w:val="24"/>
          <w:highlight w:val="yellow"/>
        </w:rPr>
        <w:t xml:space="preserve">XX </w:t>
      </w:r>
      <w:r w:rsidR="00F122AD" w:rsidRPr="005A0B98">
        <w:rPr>
          <w:rFonts w:cstheme="minorHAnsi"/>
          <w:b/>
          <w:bCs/>
          <w:sz w:val="24"/>
          <w:szCs w:val="24"/>
          <w:highlight w:val="yellow"/>
        </w:rPr>
        <w:t xml:space="preserve">de </w:t>
      </w:r>
      <w:r w:rsidR="005A0B98" w:rsidRPr="005A0B98">
        <w:rPr>
          <w:rFonts w:cstheme="minorHAnsi"/>
          <w:b/>
          <w:bCs/>
          <w:sz w:val="24"/>
          <w:szCs w:val="24"/>
          <w:highlight w:val="yellow"/>
        </w:rPr>
        <w:t>XX</w:t>
      </w:r>
      <w:r w:rsidRPr="005A0B98">
        <w:rPr>
          <w:rFonts w:cstheme="minorHAnsi"/>
          <w:b/>
          <w:bCs/>
          <w:sz w:val="24"/>
          <w:szCs w:val="24"/>
          <w:highlight w:val="yellow"/>
        </w:rPr>
        <w:t xml:space="preserve"> de 202</w:t>
      </w:r>
      <w:r w:rsidR="005A0B98" w:rsidRPr="005A0B98">
        <w:rPr>
          <w:rFonts w:cstheme="minorHAnsi"/>
          <w:b/>
          <w:bCs/>
          <w:sz w:val="24"/>
          <w:szCs w:val="24"/>
          <w:highlight w:val="yellow"/>
        </w:rPr>
        <w:t>4</w:t>
      </w:r>
      <w:r w:rsidRPr="00870434">
        <w:rPr>
          <w:rFonts w:cstheme="minorHAnsi"/>
          <w:b/>
          <w:bCs/>
          <w:sz w:val="24"/>
          <w:szCs w:val="24"/>
        </w:rPr>
        <w:t>, de la Secretar</w:t>
      </w:r>
      <w:r w:rsidR="005A0B98">
        <w:rPr>
          <w:rFonts w:cstheme="minorHAnsi"/>
          <w:b/>
          <w:bCs/>
          <w:sz w:val="24"/>
          <w:szCs w:val="24"/>
        </w:rPr>
        <w:t>í</w:t>
      </w:r>
      <w:r w:rsidRPr="00870434">
        <w:rPr>
          <w:rFonts w:cstheme="minorHAnsi"/>
          <w:b/>
          <w:bCs/>
          <w:sz w:val="24"/>
          <w:szCs w:val="24"/>
        </w:rPr>
        <w:t>a General de Pesca, por la que se regula el mecanismo de optimización de la población de patudo (</w:t>
      </w:r>
      <w:proofErr w:type="spellStart"/>
      <w:r w:rsidRPr="00870434">
        <w:rPr>
          <w:rFonts w:cstheme="minorHAnsi"/>
          <w:b/>
          <w:bCs/>
          <w:i/>
          <w:iCs/>
          <w:sz w:val="24"/>
          <w:szCs w:val="24"/>
        </w:rPr>
        <w:t>Thunnus</w:t>
      </w:r>
      <w:proofErr w:type="spellEnd"/>
      <w:r w:rsidRPr="00870434">
        <w:rPr>
          <w:rFonts w:cstheme="minorHAnsi"/>
          <w:b/>
          <w:bCs/>
          <w:i/>
          <w:iCs/>
          <w:sz w:val="24"/>
          <w:szCs w:val="24"/>
        </w:rPr>
        <w:t xml:space="preserve"> </w:t>
      </w:r>
      <w:proofErr w:type="spellStart"/>
      <w:r w:rsidRPr="00870434">
        <w:rPr>
          <w:rFonts w:cstheme="minorHAnsi"/>
          <w:b/>
          <w:bCs/>
          <w:i/>
          <w:iCs/>
          <w:sz w:val="24"/>
          <w:szCs w:val="24"/>
        </w:rPr>
        <w:t>obesus</w:t>
      </w:r>
      <w:proofErr w:type="spellEnd"/>
      <w:r w:rsidRPr="00870434">
        <w:rPr>
          <w:rFonts w:cstheme="minorHAnsi"/>
          <w:b/>
          <w:bCs/>
          <w:sz w:val="24"/>
          <w:szCs w:val="24"/>
        </w:rPr>
        <w:t>) de la zona regulada por la Comisión Internacional para la Conservación del Atún Atlántico (CICAA) para el año 202</w:t>
      </w:r>
      <w:r w:rsidR="005A0B98">
        <w:rPr>
          <w:rFonts w:cstheme="minorHAnsi"/>
          <w:b/>
          <w:bCs/>
          <w:sz w:val="24"/>
          <w:szCs w:val="24"/>
        </w:rPr>
        <w:t>4</w:t>
      </w:r>
      <w:r w:rsidRPr="00870434">
        <w:rPr>
          <w:rFonts w:cstheme="minorHAnsi"/>
          <w:b/>
          <w:bCs/>
          <w:sz w:val="24"/>
          <w:szCs w:val="24"/>
        </w:rPr>
        <w:t>.</w:t>
      </w:r>
    </w:p>
    <w:p w14:paraId="2C27BA5F" w14:textId="77777777" w:rsidR="00AC1891" w:rsidRPr="009B30A1" w:rsidRDefault="00AC1891" w:rsidP="00AC1891">
      <w:pPr>
        <w:spacing w:after="0"/>
        <w:jc w:val="both"/>
        <w:rPr>
          <w:rFonts w:cstheme="minorHAnsi"/>
          <w:b/>
          <w:bCs/>
          <w:sz w:val="20"/>
          <w:szCs w:val="20"/>
          <w:u w:val="single"/>
        </w:rPr>
      </w:pPr>
    </w:p>
    <w:p w14:paraId="14404D00" w14:textId="1FF844F6" w:rsidR="00CD7BC9" w:rsidRPr="00134B86" w:rsidRDefault="00870434" w:rsidP="00870434">
      <w:pPr>
        <w:pStyle w:val="Prrafodelista"/>
        <w:numPr>
          <w:ilvl w:val="0"/>
          <w:numId w:val="5"/>
        </w:numPr>
        <w:spacing w:before="100" w:beforeAutospacing="1" w:line="276" w:lineRule="auto"/>
        <w:ind w:left="142" w:hanging="426"/>
        <w:jc w:val="both"/>
        <w:rPr>
          <w:rFonts w:cstheme="minorHAnsi"/>
          <w:sz w:val="24"/>
          <w:szCs w:val="24"/>
        </w:rPr>
      </w:pPr>
      <w:r>
        <w:rPr>
          <w:rFonts w:cstheme="minorHAnsi"/>
          <w:sz w:val="24"/>
          <w:szCs w:val="24"/>
        </w:rPr>
        <w:t xml:space="preserve">De acuerdo con lo dispuesto en el artículo 7 bis de la </w:t>
      </w:r>
      <w:r w:rsidRPr="00870434">
        <w:rPr>
          <w:rFonts w:cstheme="minorHAnsi"/>
          <w:sz w:val="24"/>
          <w:szCs w:val="24"/>
        </w:rPr>
        <w:t>Orden APA/372/2020, de 24 de abril, por la que se regula la pesquería de patudo (</w:t>
      </w:r>
      <w:proofErr w:type="spellStart"/>
      <w:r w:rsidRPr="00870434">
        <w:rPr>
          <w:rFonts w:cstheme="minorHAnsi"/>
          <w:i/>
          <w:iCs/>
          <w:sz w:val="24"/>
          <w:szCs w:val="24"/>
        </w:rPr>
        <w:t>Thunnus</w:t>
      </w:r>
      <w:proofErr w:type="spellEnd"/>
      <w:r w:rsidRPr="00870434">
        <w:rPr>
          <w:rFonts w:cstheme="minorHAnsi"/>
          <w:i/>
          <w:iCs/>
          <w:sz w:val="24"/>
          <w:szCs w:val="24"/>
        </w:rPr>
        <w:t xml:space="preserve"> </w:t>
      </w:r>
      <w:proofErr w:type="spellStart"/>
      <w:r w:rsidRPr="00870434">
        <w:rPr>
          <w:rFonts w:cstheme="minorHAnsi"/>
          <w:i/>
          <w:iCs/>
          <w:sz w:val="24"/>
          <w:szCs w:val="24"/>
        </w:rPr>
        <w:t>obesus</w:t>
      </w:r>
      <w:proofErr w:type="spellEnd"/>
      <w:r w:rsidRPr="00870434">
        <w:rPr>
          <w:rFonts w:cstheme="minorHAnsi"/>
          <w:sz w:val="24"/>
          <w:szCs w:val="24"/>
        </w:rPr>
        <w:t>) en el Océano Atlántico y se establece un censo de buques autorizados a la pesca de patudo</w:t>
      </w:r>
      <w:r>
        <w:rPr>
          <w:rFonts w:cstheme="minorHAnsi"/>
          <w:sz w:val="24"/>
          <w:szCs w:val="24"/>
        </w:rPr>
        <w:t xml:space="preserve">, modificada por la </w:t>
      </w:r>
      <w:r w:rsidRPr="00870434">
        <w:rPr>
          <w:rFonts w:cstheme="minorHAnsi"/>
          <w:sz w:val="24"/>
          <w:szCs w:val="24"/>
        </w:rPr>
        <w:t>Orden APA/1009/2023, de 29 de agosto, por la que se desarrolla el mecanismo de optimización para la pesquería de patudo (</w:t>
      </w:r>
      <w:proofErr w:type="spellStart"/>
      <w:r w:rsidRPr="002578E6">
        <w:rPr>
          <w:rFonts w:cstheme="minorHAnsi"/>
          <w:i/>
          <w:iCs/>
          <w:sz w:val="24"/>
          <w:szCs w:val="24"/>
        </w:rPr>
        <w:t>Thunnus</w:t>
      </w:r>
      <w:proofErr w:type="spellEnd"/>
      <w:r w:rsidRPr="002578E6">
        <w:rPr>
          <w:rFonts w:cstheme="minorHAnsi"/>
          <w:i/>
          <w:iCs/>
          <w:sz w:val="24"/>
          <w:szCs w:val="24"/>
        </w:rPr>
        <w:t xml:space="preserve"> </w:t>
      </w:r>
      <w:proofErr w:type="spellStart"/>
      <w:r w:rsidRPr="002578E6">
        <w:rPr>
          <w:rFonts w:cstheme="minorHAnsi"/>
          <w:i/>
          <w:iCs/>
          <w:sz w:val="24"/>
          <w:szCs w:val="24"/>
        </w:rPr>
        <w:t>obesus</w:t>
      </w:r>
      <w:proofErr w:type="spellEnd"/>
      <w:r w:rsidRPr="00870434">
        <w:rPr>
          <w:rFonts w:cstheme="minorHAnsi"/>
          <w:sz w:val="24"/>
          <w:szCs w:val="24"/>
        </w:rPr>
        <w:t>) en el Océano Atlántico</w:t>
      </w:r>
      <w:r>
        <w:rPr>
          <w:rFonts w:cstheme="minorHAnsi"/>
          <w:sz w:val="24"/>
          <w:szCs w:val="24"/>
        </w:rPr>
        <w:t xml:space="preserve">, </w:t>
      </w:r>
      <w:r w:rsidRPr="00134B86">
        <w:rPr>
          <w:rFonts w:cstheme="minorHAnsi"/>
          <w:sz w:val="24"/>
          <w:szCs w:val="24"/>
        </w:rPr>
        <w:t>mediante la presente resolución se regula el mecanismo de optimización de la población de patudo (</w:t>
      </w:r>
      <w:proofErr w:type="spellStart"/>
      <w:r w:rsidRPr="00134B86">
        <w:rPr>
          <w:rFonts w:cstheme="minorHAnsi"/>
          <w:i/>
          <w:iCs/>
          <w:sz w:val="24"/>
          <w:szCs w:val="24"/>
        </w:rPr>
        <w:t>Thunnus</w:t>
      </w:r>
      <w:proofErr w:type="spellEnd"/>
      <w:r w:rsidRPr="00134B86">
        <w:rPr>
          <w:rFonts w:cstheme="minorHAnsi"/>
          <w:i/>
          <w:iCs/>
          <w:sz w:val="24"/>
          <w:szCs w:val="24"/>
        </w:rPr>
        <w:t xml:space="preserve"> </w:t>
      </w:r>
      <w:proofErr w:type="spellStart"/>
      <w:r w:rsidRPr="00134B86">
        <w:rPr>
          <w:rFonts w:cstheme="minorHAnsi"/>
          <w:i/>
          <w:iCs/>
          <w:sz w:val="24"/>
          <w:szCs w:val="24"/>
        </w:rPr>
        <w:t>obesus</w:t>
      </w:r>
      <w:proofErr w:type="spellEnd"/>
      <w:r w:rsidRPr="00134B86">
        <w:rPr>
          <w:rFonts w:cstheme="minorHAnsi"/>
          <w:sz w:val="24"/>
          <w:szCs w:val="24"/>
        </w:rPr>
        <w:t>) de la zona regulada por la Comisión Internacional para la Conservación del Atún Atlántico (CICAA) para el año 202</w:t>
      </w:r>
      <w:r w:rsidR="005A0B98">
        <w:rPr>
          <w:rFonts w:cstheme="minorHAnsi"/>
          <w:sz w:val="24"/>
          <w:szCs w:val="24"/>
        </w:rPr>
        <w:t>4</w:t>
      </w:r>
      <w:r w:rsidR="00AD3A05" w:rsidRPr="00134B86">
        <w:rPr>
          <w:rFonts w:cstheme="minorHAnsi"/>
          <w:sz w:val="24"/>
          <w:szCs w:val="24"/>
        </w:rPr>
        <w:t>.</w:t>
      </w:r>
    </w:p>
    <w:p w14:paraId="41AE75A2" w14:textId="77777777" w:rsidR="00870434" w:rsidRPr="00134B86" w:rsidRDefault="00870434" w:rsidP="00870434">
      <w:pPr>
        <w:pStyle w:val="Prrafodelista"/>
        <w:spacing w:before="100" w:beforeAutospacing="1" w:line="276" w:lineRule="auto"/>
        <w:ind w:left="142"/>
        <w:jc w:val="both"/>
        <w:rPr>
          <w:rFonts w:cstheme="minorHAnsi"/>
          <w:sz w:val="24"/>
          <w:szCs w:val="24"/>
        </w:rPr>
      </w:pPr>
    </w:p>
    <w:p w14:paraId="13042D91" w14:textId="714DE586" w:rsidR="00870434" w:rsidRDefault="00781233" w:rsidP="00870434">
      <w:pPr>
        <w:pStyle w:val="Prrafodelista"/>
        <w:numPr>
          <w:ilvl w:val="0"/>
          <w:numId w:val="5"/>
        </w:numPr>
        <w:spacing w:before="100" w:beforeAutospacing="1" w:line="276" w:lineRule="auto"/>
        <w:ind w:left="142" w:hanging="426"/>
        <w:jc w:val="both"/>
        <w:rPr>
          <w:rFonts w:cstheme="minorHAnsi"/>
          <w:sz w:val="24"/>
          <w:szCs w:val="24"/>
        </w:rPr>
      </w:pPr>
      <w:r>
        <w:rPr>
          <w:rFonts w:cstheme="minorHAnsi"/>
          <w:sz w:val="24"/>
          <w:szCs w:val="24"/>
        </w:rPr>
        <w:t>El citado</w:t>
      </w:r>
      <w:r w:rsidR="00870434" w:rsidRPr="00870434">
        <w:rPr>
          <w:rFonts w:cstheme="minorHAnsi"/>
          <w:sz w:val="24"/>
          <w:szCs w:val="24"/>
        </w:rPr>
        <w:t xml:space="preserve"> artículo 7 bis, en su apartado primero</w:t>
      </w:r>
      <w:r w:rsidR="00870434">
        <w:rPr>
          <w:rFonts w:cstheme="minorHAnsi"/>
          <w:sz w:val="24"/>
          <w:szCs w:val="24"/>
        </w:rPr>
        <w:t>,</w:t>
      </w:r>
      <w:r w:rsidR="00870434" w:rsidRPr="00870434">
        <w:rPr>
          <w:rFonts w:cstheme="minorHAnsi"/>
          <w:sz w:val="24"/>
          <w:szCs w:val="24"/>
        </w:rPr>
        <w:t xml:space="preserve"> señala que </w:t>
      </w:r>
      <w:r w:rsidR="00870434" w:rsidRPr="00134B86">
        <w:rPr>
          <w:rFonts w:cstheme="minorHAnsi"/>
          <w:sz w:val="24"/>
          <w:szCs w:val="24"/>
        </w:rPr>
        <w:t>“</w:t>
      </w:r>
      <w:r w:rsidR="00870434" w:rsidRPr="00134B86">
        <w:rPr>
          <w:rFonts w:cstheme="minorHAnsi"/>
          <w:i/>
          <w:iCs/>
          <w:sz w:val="24"/>
          <w:szCs w:val="24"/>
        </w:rPr>
        <w:t>si a fecha de 20 de agosto existiera un s</w:t>
      </w:r>
      <w:r w:rsidR="005A0B98">
        <w:rPr>
          <w:rFonts w:cstheme="minorHAnsi"/>
          <w:i/>
          <w:iCs/>
          <w:sz w:val="24"/>
          <w:szCs w:val="24"/>
        </w:rPr>
        <w:t>o</w:t>
      </w:r>
      <w:r w:rsidR="00870434" w:rsidRPr="00134B86">
        <w:rPr>
          <w:rFonts w:cstheme="minorHAnsi"/>
          <w:i/>
          <w:iCs/>
          <w:sz w:val="24"/>
          <w:szCs w:val="24"/>
        </w:rPr>
        <w:t xml:space="preserve">brante de cuota para un buque o grupo de buques y dicho sobrante </w:t>
      </w:r>
      <w:r w:rsidR="00A916C2" w:rsidRPr="00134B86">
        <w:rPr>
          <w:rFonts w:cstheme="minorHAnsi"/>
          <w:i/>
          <w:iCs/>
          <w:sz w:val="24"/>
          <w:szCs w:val="24"/>
        </w:rPr>
        <w:t>representará</w:t>
      </w:r>
      <w:r w:rsidR="00870434" w:rsidRPr="00134B86">
        <w:rPr>
          <w:rFonts w:cstheme="minorHAnsi"/>
          <w:i/>
          <w:iCs/>
          <w:sz w:val="24"/>
          <w:szCs w:val="24"/>
        </w:rPr>
        <w:t xml:space="preserve"> una cantidad superior al consumo que dicho buque o grupo de buques pudiera realizar, la Secretaría General de Pesca podrá fijar mediante resolución, oído el sector y las comunidades autónomas, dicho sobrante en una cuota común que opera como mecanismo de optimización anual.</w:t>
      </w:r>
      <w:r w:rsidR="00870434" w:rsidRPr="00870434">
        <w:rPr>
          <w:rFonts w:cstheme="minorHAnsi"/>
          <w:i/>
          <w:iCs/>
          <w:sz w:val="24"/>
          <w:szCs w:val="24"/>
        </w:rPr>
        <w:t xml:space="preserve"> Dicha resolución se publicará en el «Boletín Oficial del Estado» antes del 1 de septiembre y en ella se indicarán las cantidades sobrantes por buque o grupo de buques, así como la cantidad disponible del mecanismo de optimización anual</w:t>
      </w:r>
      <w:r w:rsidR="00870434">
        <w:rPr>
          <w:rFonts w:cstheme="minorHAnsi"/>
          <w:sz w:val="24"/>
          <w:szCs w:val="24"/>
        </w:rPr>
        <w:t>”</w:t>
      </w:r>
      <w:r w:rsidR="00870434" w:rsidRPr="00870434">
        <w:rPr>
          <w:rFonts w:cstheme="minorHAnsi"/>
          <w:sz w:val="24"/>
          <w:szCs w:val="24"/>
        </w:rPr>
        <w:t>.</w:t>
      </w:r>
    </w:p>
    <w:p w14:paraId="0208344D" w14:textId="77777777" w:rsidR="00DE4444" w:rsidRPr="00DE4444" w:rsidRDefault="00DE4444" w:rsidP="00DE4444">
      <w:pPr>
        <w:pStyle w:val="Prrafodelista"/>
        <w:rPr>
          <w:rFonts w:cstheme="minorHAnsi"/>
          <w:sz w:val="24"/>
          <w:szCs w:val="24"/>
        </w:rPr>
      </w:pPr>
    </w:p>
    <w:p w14:paraId="3525B11B" w14:textId="47B80261" w:rsidR="00DE4444" w:rsidRDefault="00781233" w:rsidP="00870434">
      <w:pPr>
        <w:pStyle w:val="Prrafodelista"/>
        <w:numPr>
          <w:ilvl w:val="0"/>
          <w:numId w:val="5"/>
        </w:numPr>
        <w:spacing w:before="100" w:beforeAutospacing="1" w:line="276" w:lineRule="auto"/>
        <w:ind w:left="142" w:hanging="426"/>
        <w:jc w:val="both"/>
        <w:rPr>
          <w:rFonts w:cstheme="minorHAnsi"/>
          <w:sz w:val="24"/>
          <w:szCs w:val="24"/>
        </w:rPr>
      </w:pPr>
      <w:r w:rsidRPr="00134B86">
        <w:rPr>
          <w:rFonts w:cstheme="minorHAnsi"/>
          <w:sz w:val="24"/>
          <w:szCs w:val="24"/>
        </w:rPr>
        <w:t>Por cantidad superior al consumo que un buque o grupo de buques pudiera realizar</w:t>
      </w:r>
      <w:r>
        <w:rPr>
          <w:rFonts w:cstheme="minorHAnsi"/>
          <w:sz w:val="24"/>
          <w:szCs w:val="24"/>
        </w:rPr>
        <w:t xml:space="preserve"> se entenderá cualquier cantidad </w:t>
      </w:r>
      <w:r w:rsidRPr="00781233">
        <w:rPr>
          <w:rFonts w:cstheme="minorHAnsi"/>
          <w:sz w:val="24"/>
          <w:szCs w:val="24"/>
        </w:rPr>
        <w:t>superior a los desembarques realizados entre el 20 de agosto y el 31 de diciembr</w:t>
      </w:r>
      <w:r>
        <w:rPr>
          <w:rFonts w:cstheme="minorHAnsi"/>
          <w:sz w:val="24"/>
          <w:szCs w:val="24"/>
        </w:rPr>
        <w:t>e</w:t>
      </w:r>
      <w:r w:rsidRPr="00781233">
        <w:rPr>
          <w:rFonts w:cstheme="minorHAnsi"/>
          <w:sz w:val="24"/>
          <w:szCs w:val="24"/>
        </w:rPr>
        <w:t xml:space="preserve"> para ese buque o grupo de buques en cualquiera de los últimos tres años</w:t>
      </w:r>
      <w:r>
        <w:rPr>
          <w:rFonts w:cstheme="minorHAnsi"/>
          <w:sz w:val="24"/>
          <w:szCs w:val="24"/>
        </w:rPr>
        <w:t>, de acuerdo con lo dispuesto en el apartado segundo del referido artículo 7 bis.</w:t>
      </w:r>
    </w:p>
    <w:p w14:paraId="6347E376" w14:textId="77777777" w:rsidR="00781233" w:rsidRPr="00781233" w:rsidRDefault="00781233" w:rsidP="00781233">
      <w:pPr>
        <w:pStyle w:val="Prrafodelista"/>
        <w:rPr>
          <w:rFonts w:cstheme="minorHAnsi"/>
          <w:sz w:val="24"/>
          <w:szCs w:val="24"/>
        </w:rPr>
      </w:pPr>
    </w:p>
    <w:p w14:paraId="654D5878" w14:textId="03B4EDB6" w:rsidR="00781233" w:rsidRDefault="00781233" w:rsidP="00870434">
      <w:pPr>
        <w:pStyle w:val="Prrafodelista"/>
        <w:numPr>
          <w:ilvl w:val="0"/>
          <w:numId w:val="5"/>
        </w:numPr>
        <w:spacing w:before="100" w:beforeAutospacing="1" w:line="276" w:lineRule="auto"/>
        <w:ind w:left="142" w:hanging="426"/>
        <w:jc w:val="both"/>
        <w:rPr>
          <w:rFonts w:cstheme="minorHAnsi"/>
          <w:sz w:val="24"/>
          <w:szCs w:val="24"/>
        </w:rPr>
      </w:pPr>
      <w:r>
        <w:rPr>
          <w:rFonts w:cstheme="minorHAnsi"/>
          <w:sz w:val="24"/>
          <w:szCs w:val="24"/>
        </w:rPr>
        <w:t>En aplicación del apartado tercero de</w:t>
      </w:r>
      <w:r w:rsidR="00713CF2">
        <w:rPr>
          <w:rFonts w:cstheme="minorHAnsi"/>
          <w:sz w:val="24"/>
          <w:szCs w:val="24"/>
        </w:rPr>
        <w:t>l</w:t>
      </w:r>
      <w:r>
        <w:rPr>
          <w:rFonts w:cstheme="minorHAnsi"/>
          <w:sz w:val="24"/>
          <w:szCs w:val="24"/>
        </w:rPr>
        <w:t xml:space="preserve"> artículo 7 bis, “</w:t>
      </w:r>
      <w:r w:rsidRPr="00781233">
        <w:rPr>
          <w:rFonts w:cstheme="minorHAnsi"/>
          <w:i/>
          <w:iCs/>
          <w:sz w:val="24"/>
          <w:szCs w:val="24"/>
        </w:rPr>
        <w:t xml:space="preserve">a partir del 1 de septiembre </w:t>
      </w:r>
      <w:r w:rsidRPr="00134B86">
        <w:rPr>
          <w:rFonts w:cstheme="minorHAnsi"/>
          <w:i/>
          <w:iCs/>
          <w:sz w:val="24"/>
          <w:szCs w:val="24"/>
        </w:rPr>
        <w:t xml:space="preserve">las cuotas integrantes de ese mecanismo de optimización anual del stock estarán a disposición de todos los buques incluidos dentro del ámbito de aplicación de esta orden, una vez hayan agotado las posibilidades de pesca que les hayan sido inicialmente asignadas y hasta el consumo total de la cuota común. </w:t>
      </w:r>
      <w:r w:rsidRPr="00781233">
        <w:rPr>
          <w:rFonts w:cstheme="minorHAnsi"/>
          <w:i/>
          <w:iCs/>
          <w:sz w:val="24"/>
          <w:szCs w:val="24"/>
        </w:rPr>
        <w:t xml:space="preserve">En caso de gestión conjunta, los </w:t>
      </w:r>
      <w:r w:rsidRPr="00781233">
        <w:rPr>
          <w:rFonts w:cstheme="minorHAnsi"/>
          <w:i/>
          <w:iCs/>
          <w:sz w:val="24"/>
          <w:szCs w:val="24"/>
        </w:rPr>
        <w:lastRenderedPageBreak/>
        <w:t>buques que participen de la misma sólo podrán acceder a la cuota común del mecanismo de optimización una vez hayan agotado la cuota que gestionan de forma conjunta</w:t>
      </w:r>
      <w:r>
        <w:rPr>
          <w:rFonts w:cstheme="minorHAnsi"/>
          <w:sz w:val="24"/>
          <w:szCs w:val="24"/>
        </w:rPr>
        <w:t>”.</w:t>
      </w:r>
    </w:p>
    <w:p w14:paraId="59AED710" w14:textId="77777777" w:rsidR="00E516C8" w:rsidRPr="00A061AB" w:rsidRDefault="00E516C8" w:rsidP="00A061AB">
      <w:pPr>
        <w:pStyle w:val="Prrafodelista"/>
        <w:rPr>
          <w:rFonts w:cstheme="minorHAnsi"/>
          <w:sz w:val="24"/>
          <w:szCs w:val="24"/>
        </w:rPr>
      </w:pPr>
    </w:p>
    <w:p w14:paraId="6E826B16" w14:textId="4EDA7DCF" w:rsidR="002008E2" w:rsidRDefault="00E516C8" w:rsidP="00FF1082">
      <w:pPr>
        <w:pStyle w:val="Prrafodelista"/>
        <w:spacing w:before="100" w:beforeAutospacing="1" w:line="276" w:lineRule="auto"/>
        <w:ind w:left="142"/>
        <w:jc w:val="both"/>
        <w:rPr>
          <w:rFonts w:cstheme="minorHAnsi"/>
          <w:sz w:val="24"/>
          <w:szCs w:val="24"/>
        </w:rPr>
      </w:pPr>
      <w:r>
        <w:rPr>
          <w:rFonts w:cstheme="minorHAnsi"/>
          <w:sz w:val="24"/>
          <w:szCs w:val="24"/>
        </w:rPr>
        <w:t xml:space="preserve">El mismo apartado tercero, en su segundo párrafo, </w:t>
      </w:r>
      <w:r w:rsidR="00FF1082">
        <w:rPr>
          <w:rFonts w:cstheme="minorHAnsi"/>
          <w:sz w:val="24"/>
          <w:szCs w:val="24"/>
        </w:rPr>
        <w:t>señala que “</w:t>
      </w:r>
      <w:r w:rsidR="00FF1082" w:rsidRPr="00A061AB">
        <w:rPr>
          <w:rFonts w:cstheme="minorHAnsi"/>
          <w:i/>
          <w:iCs/>
          <w:sz w:val="24"/>
          <w:szCs w:val="24"/>
        </w:rPr>
        <w:t>no podrán beneficiarse del mecanismo de optimización anual del uso de cuotas, los buques que presenten a fecha 20 de agosto un rebasamiento en el consumo superior al 10 % de su cuota adaptada</w:t>
      </w:r>
      <w:r w:rsidR="00FF1082">
        <w:rPr>
          <w:rFonts w:cstheme="minorHAnsi"/>
          <w:sz w:val="24"/>
          <w:szCs w:val="24"/>
        </w:rPr>
        <w:t>”.</w:t>
      </w:r>
    </w:p>
    <w:p w14:paraId="750BA6E2" w14:textId="77777777" w:rsidR="00846DF0" w:rsidRDefault="00846DF0" w:rsidP="00FF1082">
      <w:pPr>
        <w:pStyle w:val="Prrafodelista"/>
        <w:spacing w:before="100" w:beforeAutospacing="1" w:line="276" w:lineRule="auto"/>
        <w:ind w:left="142"/>
        <w:jc w:val="both"/>
        <w:rPr>
          <w:rFonts w:cstheme="minorHAnsi"/>
          <w:sz w:val="24"/>
          <w:szCs w:val="24"/>
        </w:rPr>
      </w:pPr>
    </w:p>
    <w:p w14:paraId="2909B8D9" w14:textId="591676B4" w:rsidR="00846DF0" w:rsidRPr="00AA4556" w:rsidRDefault="00846DF0" w:rsidP="00FF1082">
      <w:pPr>
        <w:pStyle w:val="Prrafodelista"/>
        <w:spacing w:before="100" w:beforeAutospacing="1" w:line="276" w:lineRule="auto"/>
        <w:ind w:left="142"/>
        <w:jc w:val="both"/>
        <w:rPr>
          <w:rFonts w:cstheme="minorHAnsi"/>
          <w:i/>
          <w:iCs/>
          <w:sz w:val="24"/>
          <w:szCs w:val="24"/>
        </w:rPr>
      </w:pPr>
      <w:r>
        <w:rPr>
          <w:rFonts w:cstheme="minorHAnsi"/>
          <w:sz w:val="24"/>
          <w:szCs w:val="24"/>
        </w:rPr>
        <w:t xml:space="preserve">Por otra parte, de acuerdo con el apartado cinco del mismo artículo, se establece que: </w:t>
      </w:r>
      <w:r w:rsidRPr="00AA4556">
        <w:rPr>
          <w:rFonts w:cstheme="minorHAnsi"/>
          <w:i/>
          <w:iCs/>
          <w:sz w:val="24"/>
          <w:szCs w:val="24"/>
        </w:rPr>
        <w:t>“con el objeto de determinar las cantidades sobrantes que se destinarán al mecanismo de optimización, no se autorizarán transmisiones temporales que hayan tenido entrada en el registro electrónico de la Administración competente para su tramitación entre el 31 de julio y el 1 de septiembre</w:t>
      </w:r>
      <w:r>
        <w:rPr>
          <w:rFonts w:cstheme="minorHAnsi"/>
          <w:i/>
          <w:iCs/>
          <w:sz w:val="24"/>
          <w:szCs w:val="24"/>
        </w:rPr>
        <w:t>”.</w:t>
      </w:r>
    </w:p>
    <w:p w14:paraId="479FF738" w14:textId="77777777" w:rsidR="00FF1082" w:rsidRPr="00FF1082" w:rsidRDefault="00FF1082" w:rsidP="00FF1082">
      <w:pPr>
        <w:pStyle w:val="Prrafodelista"/>
        <w:spacing w:before="100" w:beforeAutospacing="1" w:line="276" w:lineRule="auto"/>
        <w:ind w:left="142"/>
        <w:jc w:val="both"/>
        <w:rPr>
          <w:rFonts w:cstheme="minorHAnsi"/>
          <w:sz w:val="24"/>
          <w:szCs w:val="24"/>
        </w:rPr>
      </w:pPr>
    </w:p>
    <w:p w14:paraId="07010173" w14:textId="77777777" w:rsidR="0089618D" w:rsidRDefault="0089618D" w:rsidP="0089618D">
      <w:pPr>
        <w:pStyle w:val="Prrafodelista"/>
        <w:spacing w:before="100" w:beforeAutospacing="1" w:line="276" w:lineRule="auto"/>
        <w:ind w:left="142"/>
        <w:jc w:val="both"/>
        <w:rPr>
          <w:rFonts w:cstheme="minorHAnsi"/>
          <w:sz w:val="24"/>
          <w:szCs w:val="24"/>
        </w:rPr>
      </w:pPr>
    </w:p>
    <w:p w14:paraId="1259E0EF" w14:textId="771D032F" w:rsidR="00C90732" w:rsidRPr="00134B86" w:rsidRDefault="00C90732" w:rsidP="00C90732">
      <w:pPr>
        <w:pStyle w:val="Prrafodelista"/>
        <w:numPr>
          <w:ilvl w:val="0"/>
          <w:numId w:val="5"/>
        </w:numPr>
        <w:spacing w:before="100" w:beforeAutospacing="1" w:line="276" w:lineRule="auto"/>
        <w:ind w:left="142" w:hanging="426"/>
        <w:jc w:val="both"/>
        <w:rPr>
          <w:rFonts w:cstheme="minorHAnsi"/>
          <w:sz w:val="24"/>
          <w:szCs w:val="24"/>
        </w:rPr>
      </w:pPr>
      <w:r>
        <w:rPr>
          <w:rFonts w:cstheme="minorHAnsi"/>
          <w:sz w:val="24"/>
          <w:szCs w:val="24"/>
        </w:rPr>
        <w:t xml:space="preserve">De acuerdo con el artículo 3 de la Orden </w:t>
      </w:r>
      <w:r w:rsidRPr="00870434">
        <w:rPr>
          <w:rFonts w:cstheme="minorHAnsi"/>
          <w:sz w:val="24"/>
          <w:szCs w:val="24"/>
        </w:rPr>
        <w:t>APA/372/2020, de 24 de abril</w:t>
      </w:r>
      <w:r>
        <w:rPr>
          <w:rFonts w:cstheme="minorHAnsi"/>
          <w:sz w:val="24"/>
          <w:szCs w:val="24"/>
        </w:rPr>
        <w:t xml:space="preserve">, que establece la asignación de cuotas, </w:t>
      </w:r>
      <w:r w:rsidRPr="00134B86">
        <w:rPr>
          <w:rFonts w:cstheme="minorHAnsi"/>
          <w:sz w:val="24"/>
          <w:szCs w:val="24"/>
        </w:rPr>
        <w:t>los buques de las listas a) (atuneros cerqueros congeladores), y c) (atuneros cañeros en aguas africanas con base en Dakar) tienen asignaciones individuales; mientras que en las listas b) (atuneros cañeros canarios), d) (flota canaria artesanal), e) (palangre de superficie) y f) (resto de flotas), la asignación no es individual.</w:t>
      </w:r>
    </w:p>
    <w:p w14:paraId="2122D1E1" w14:textId="1D16E893" w:rsidR="0089618D" w:rsidRDefault="0089618D" w:rsidP="00C90732">
      <w:pPr>
        <w:pStyle w:val="Prrafodelista"/>
        <w:spacing w:before="100" w:beforeAutospacing="1" w:line="276" w:lineRule="auto"/>
        <w:ind w:left="142"/>
        <w:jc w:val="both"/>
        <w:rPr>
          <w:rFonts w:cstheme="minorHAnsi"/>
          <w:sz w:val="24"/>
          <w:szCs w:val="24"/>
        </w:rPr>
      </w:pPr>
    </w:p>
    <w:p w14:paraId="6ADCE0AC" w14:textId="177F366A" w:rsidR="00985ED3" w:rsidRDefault="00985ED3" w:rsidP="00985ED3">
      <w:pPr>
        <w:pStyle w:val="Prrafodelista"/>
        <w:spacing w:before="100" w:beforeAutospacing="1" w:line="276" w:lineRule="auto"/>
        <w:ind w:left="142"/>
        <w:jc w:val="both"/>
        <w:rPr>
          <w:rFonts w:cstheme="minorHAnsi"/>
          <w:sz w:val="24"/>
          <w:szCs w:val="24"/>
        </w:rPr>
      </w:pPr>
      <w:r w:rsidRPr="00985ED3">
        <w:rPr>
          <w:rFonts w:cstheme="minorHAnsi"/>
          <w:sz w:val="24"/>
          <w:szCs w:val="24"/>
        </w:rPr>
        <w:t>La aportación a la cuota común del mecanismo de optimización se realizará con los sobrantes de las asignaciones individuales de cada uno de los b</w:t>
      </w:r>
      <w:r w:rsidR="0017433E">
        <w:rPr>
          <w:rFonts w:cstheme="minorHAnsi"/>
          <w:sz w:val="24"/>
          <w:szCs w:val="24"/>
        </w:rPr>
        <w:t>uque</w:t>
      </w:r>
      <w:r w:rsidRPr="00985ED3">
        <w:rPr>
          <w:rFonts w:cstheme="minorHAnsi"/>
          <w:sz w:val="24"/>
          <w:szCs w:val="24"/>
        </w:rPr>
        <w:t>s de las listas a</w:t>
      </w:r>
      <w:r>
        <w:rPr>
          <w:rFonts w:cstheme="minorHAnsi"/>
          <w:sz w:val="24"/>
          <w:szCs w:val="24"/>
        </w:rPr>
        <w:t>)</w:t>
      </w:r>
      <w:r w:rsidRPr="00985ED3">
        <w:rPr>
          <w:rFonts w:cstheme="minorHAnsi"/>
          <w:sz w:val="24"/>
          <w:szCs w:val="24"/>
        </w:rPr>
        <w:t xml:space="preserve"> y c</w:t>
      </w:r>
      <w:r>
        <w:rPr>
          <w:rFonts w:cstheme="minorHAnsi"/>
          <w:sz w:val="24"/>
          <w:szCs w:val="24"/>
        </w:rPr>
        <w:t>)</w:t>
      </w:r>
      <w:r w:rsidRPr="00985ED3">
        <w:rPr>
          <w:rFonts w:cstheme="minorHAnsi"/>
          <w:sz w:val="24"/>
          <w:szCs w:val="24"/>
        </w:rPr>
        <w:t>, y con los sobrantes de cada una de las listas b</w:t>
      </w:r>
      <w:r>
        <w:rPr>
          <w:rFonts w:cstheme="minorHAnsi"/>
          <w:sz w:val="24"/>
          <w:szCs w:val="24"/>
        </w:rPr>
        <w:t>)</w:t>
      </w:r>
      <w:r w:rsidRPr="00985ED3">
        <w:rPr>
          <w:rFonts w:cstheme="minorHAnsi"/>
          <w:sz w:val="24"/>
          <w:szCs w:val="24"/>
        </w:rPr>
        <w:t>, d</w:t>
      </w:r>
      <w:r>
        <w:rPr>
          <w:rFonts w:cstheme="minorHAnsi"/>
          <w:sz w:val="24"/>
          <w:szCs w:val="24"/>
        </w:rPr>
        <w:t>)</w:t>
      </w:r>
      <w:r w:rsidRPr="00985ED3">
        <w:rPr>
          <w:rFonts w:cstheme="minorHAnsi"/>
          <w:sz w:val="24"/>
          <w:szCs w:val="24"/>
        </w:rPr>
        <w:t>, e</w:t>
      </w:r>
      <w:r>
        <w:rPr>
          <w:rFonts w:cstheme="minorHAnsi"/>
          <w:sz w:val="24"/>
          <w:szCs w:val="24"/>
        </w:rPr>
        <w:t>)</w:t>
      </w:r>
      <w:r w:rsidRPr="00985ED3">
        <w:rPr>
          <w:rFonts w:cstheme="minorHAnsi"/>
          <w:sz w:val="24"/>
          <w:szCs w:val="24"/>
        </w:rPr>
        <w:t xml:space="preserve"> y f</w:t>
      </w:r>
      <w:r>
        <w:rPr>
          <w:rFonts w:cstheme="minorHAnsi"/>
          <w:sz w:val="24"/>
          <w:szCs w:val="24"/>
        </w:rPr>
        <w:t>)</w:t>
      </w:r>
      <w:r w:rsidRPr="00985ED3">
        <w:rPr>
          <w:rFonts w:cstheme="minorHAnsi"/>
          <w:sz w:val="24"/>
          <w:szCs w:val="24"/>
        </w:rPr>
        <w:t>.</w:t>
      </w:r>
    </w:p>
    <w:p w14:paraId="3BA5EA07" w14:textId="77777777" w:rsidR="00576366" w:rsidRDefault="00576366" w:rsidP="00985ED3">
      <w:pPr>
        <w:pStyle w:val="Prrafodelista"/>
        <w:spacing w:before="100" w:beforeAutospacing="1" w:line="276" w:lineRule="auto"/>
        <w:ind w:left="142"/>
        <w:jc w:val="both"/>
        <w:rPr>
          <w:rFonts w:cstheme="minorHAnsi"/>
          <w:sz w:val="24"/>
          <w:szCs w:val="24"/>
        </w:rPr>
      </w:pPr>
    </w:p>
    <w:p w14:paraId="679511CF" w14:textId="24F321C8" w:rsidR="00576366" w:rsidRDefault="00576366" w:rsidP="00576366">
      <w:pPr>
        <w:pStyle w:val="Prrafodelista"/>
        <w:numPr>
          <w:ilvl w:val="0"/>
          <w:numId w:val="5"/>
        </w:numPr>
        <w:spacing w:before="100" w:beforeAutospacing="1" w:line="276" w:lineRule="auto"/>
        <w:ind w:left="142" w:hanging="426"/>
        <w:jc w:val="both"/>
        <w:rPr>
          <w:rFonts w:cstheme="minorHAnsi"/>
          <w:sz w:val="24"/>
          <w:szCs w:val="24"/>
        </w:rPr>
      </w:pPr>
      <w:r>
        <w:rPr>
          <w:rFonts w:cstheme="minorHAnsi"/>
          <w:sz w:val="24"/>
          <w:szCs w:val="24"/>
        </w:rPr>
        <w:t xml:space="preserve">Teniendo en cuenta todo lo anterior, </w:t>
      </w:r>
      <w:r w:rsidRPr="00134B86">
        <w:rPr>
          <w:rFonts w:cstheme="minorHAnsi"/>
          <w:sz w:val="24"/>
          <w:szCs w:val="24"/>
        </w:rPr>
        <w:t xml:space="preserve">la cuota común del mecanismo de optimización se </w:t>
      </w:r>
      <w:r w:rsidR="00134B86">
        <w:rPr>
          <w:rFonts w:cstheme="minorHAnsi"/>
          <w:sz w:val="24"/>
          <w:szCs w:val="24"/>
        </w:rPr>
        <w:t xml:space="preserve">ha </w:t>
      </w:r>
      <w:r w:rsidRPr="00134B86">
        <w:rPr>
          <w:rFonts w:cstheme="minorHAnsi"/>
          <w:sz w:val="24"/>
          <w:szCs w:val="24"/>
        </w:rPr>
        <w:t>establecido de la siguiente forma:</w:t>
      </w:r>
    </w:p>
    <w:p w14:paraId="601291E4" w14:textId="77777777" w:rsidR="00FF1082" w:rsidRPr="00134B86" w:rsidRDefault="00FF1082" w:rsidP="00FF1082">
      <w:pPr>
        <w:pStyle w:val="Prrafodelista"/>
        <w:spacing w:before="100" w:beforeAutospacing="1" w:line="276" w:lineRule="auto"/>
        <w:ind w:left="142"/>
        <w:jc w:val="both"/>
        <w:rPr>
          <w:rFonts w:cstheme="minorHAnsi"/>
          <w:sz w:val="24"/>
          <w:szCs w:val="24"/>
        </w:rPr>
      </w:pPr>
    </w:p>
    <w:p w14:paraId="412FC00F" w14:textId="296D1015" w:rsidR="00CF4EBC" w:rsidRPr="00CF4EBC" w:rsidRDefault="00CF4EBC" w:rsidP="00CF4EBC">
      <w:pPr>
        <w:pStyle w:val="Prrafodelista"/>
        <w:numPr>
          <w:ilvl w:val="0"/>
          <w:numId w:val="8"/>
        </w:numPr>
        <w:spacing w:before="100" w:beforeAutospacing="1" w:line="276" w:lineRule="auto"/>
        <w:ind w:left="993"/>
        <w:rPr>
          <w:rFonts w:cstheme="minorHAnsi"/>
          <w:sz w:val="24"/>
          <w:szCs w:val="24"/>
        </w:rPr>
      </w:pPr>
      <w:r>
        <w:rPr>
          <w:rFonts w:cstheme="minorHAnsi"/>
          <w:sz w:val="24"/>
          <w:szCs w:val="24"/>
        </w:rPr>
        <w:t xml:space="preserve">Se ha tenido en cuenta </w:t>
      </w:r>
      <w:r w:rsidRPr="00CF4EBC">
        <w:rPr>
          <w:rFonts w:cstheme="minorHAnsi"/>
          <w:sz w:val="24"/>
          <w:szCs w:val="24"/>
        </w:rPr>
        <w:t>la asignación de cuota de la Orden APA 372/2020, de 24 de abril, la cantidad de cuota adaptada y los consumos realizados hasta el 2</w:t>
      </w:r>
      <w:r w:rsidR="00846DF0">
        <w:rPr>
          <w:rFonts w:cstheme="minorHAnsi"/>
          <w:sz w:val="24"/>
          <w:szCs w:val="24"/>
        </w:rPr>
        <w:t>0</w:t>
      </w:r>
      <w:r w:rsidRPr="00CF4EBC">
        <w:rPr>
          <w:rFonts w:cstheme="minorHAnsi"/>
          <w:sz w:val="24"/>
          <w:szCs w:val="24"/>
        </w:rPr>
        <w:t xml:space="preserve"> de </w:t>
      </w:r>
      <w:r w:rsidR="00846DF0">
        <w:rPr>
          <w:rFonts w:cstheme="minorHAnsi"/>
          <w:sz w:val="24"/>
          <w:szCs w:val="24"/>
        </w:rPr>
        <w:t>agosto de 2024</w:t>
      </w:r>
      <w:r w:rsidRPr="00CF4EBC">
        <w:rPr>
          <w:rFonts w:cstheme="minorHAnsi"/>
          <w:sz w:val="24"/>
          <w:szCs w:val="24"/>
        </w:rPr>
        <w:t xml:space="preserve">. </w:t>
      </w:r>
    </w:p>
    <w:p w14:paraId="166A08E6" w14:textId="77777777" w:rsidR="00CF4EBC" w:rsidRDefault="00CF4EBC" w:rsidP="00CF4EBC">
      <w:pPr>
        <w:pStyle w:val="Prrafodelista"/>
        <w:spacing w:before="100" w:beforeAutospacing="1" w:line="276" w:lineRule="auto"/>
        <w:ind w:left="993"/>
        <w:jc w:val="both"/>
        <w:rPr>
          <w:rFonts w:cstheme="minorHAnsi"/>
          <w:sz w:val="24"/>
          <w:szCs w:val="24"/>
        </w:rPr>
      </w:pPr>
    </w:p>
    <w:p w14:paraId="18799315" w14:textId="346F1018" w:rsidR="009B669B" w:rsidRDefault="009B669B" w:rsidP="007F7685">
      <w:pPr>
        <w:pStyle w:val="Prrafodelista"/>
        <w:numPr>
          <w:ilvl w:val="0"/>
          <w:numId w:val="8"/>
        </w:numPr>
        <w:spacing w:before="100" w:beforeAutospacing="1" w:line="276" w:lineRule="auto"/>
        <w:ind w:left="993"/>
        <w:jc w:val="both"/>
        <w:rPr>
          <w:rFonts w:cstheme="minorHAnsi"/>
          <w:sz w:val="24"/>
          <w:szCs w:val="24"/>
        </w:rPr>
      </w:pPr>
      <w:r>
        <w:rPr>
          <w:rFonts w:cstheme="minorHAnsi"/>
          <w:sz w:val="24"/>
          <w:szCs w:val="24"/>
        </w:rPr>
        <w:t>C</w:t>
      </w:r>
      <w:r w:rsidRPr="009B669B">
        <w:rPr>
          <w:rFonts w:cstheme="minorHAnsi"/>
          <w:sz w:val="24"/>
          <w:szCs w:val="24"/>
        </w:rPr>
        <w:t xml:space="preserve">on el objeto de determinar las cantidades sobrantes que se destinan al mecanismo </w:t>
      </w:r>
      <w:r w:rsidRPr="002578E6">
        <w:rPr>
          <w:rFonts w:cstheme="minorHAnsi"/>
          <w:sz w:val="24"/>
          <w:szCs w:val="24"/>
        </w:rPr>
        <w:t xml:space="preserve">de optimización, no </w:t>
      </w:r>
      <w:r w:rsidR="00134B86" w:rsidRPr="002578E6">
        <w:rPr>
          <w:rFonts w:cstheme="minorHAnsi"/>
          <w:sz w:val="24"/>
          <w:szCs w:val="24"/>
        </w:rPr>
        <w:t>se han autorizado</w:t>
      </w:r>
      <w:r w:rsidRPr="002578E6">
        <w:rPr>
          <w:rFonts w:cstheme="minorHAnsi"/>
          <w:sz w:val="24"/>
          <w:szCs w:val="24"/>
        </w:rPr>
        <w:t xml:space="preserve"> transmisiones temporales que </w:t>
      </w:r>
      <w:r w:rsidR="00134B86" w:rsidRPr="002578E6">
        <w:rPr>
          <w:rFonts w:cstheme="minorHAnsi"/>
          <w:sz w:val="24"/>
          <w:szCs w:val="24"/>
        </w:rPr>
        <w:t xml:space="preserve">hayan tenido </w:t>
      </w:r>
      <w:r w:rsidRPr="002578E6">
        <w:rPr>
          <w:rFonts w:cstheme="minorHAnsi"/>
          <w:sz w:val="24"/>
          <w:szCs w:val="24"/>
        </w:rPr>
        <w:t xml:space="preserve">entrada en el registro electrónico de la Administración </w:t>
      </w:r>
      <w:r w:rsidRPr="002578E6">
        <w:rPr>
          <w:rFonts w:cstheme="minorHAnsi"/>
          <w:sz w:val="24"/>
          <w:szCs w:val="24"/>
        </w:rPr>
        <w:lastRenderedPageBreak/>
        <w:t xml:space="preserve">competente para su tramitación entre el </w:t>
      </w:r>
      <w:r w:rsidR="00846DF0">
        <w:rPr>
          <w:rFonts w:cstheme="minorHAnsi"/>
          <w:sz w:val="24"/>
          <w:szCs w:val="24"/>
        </w:rPr>
        <w:t xml:space="preserve">31 de julio y el 1 de septiembre </w:t>
      </w:r>
      <w:r w:rsidRPr="002578E6">
        <w:rPr>
          <w:rFonts w:cstheme="minorHAnsi"/>
          <w:sz w:val="24"/>
          <w:szCs w:val="24"/>
        </w:rPr>
        <w:t>(artículo 7 bis, apartado 5, de la Orden APA/372/2020, de 24 de abril</w:t>
      </w:r>
      <w:r>
        <w:rPr>
          <w:rFonts w:cstheme="minorHAnsi"/>
          <w:sz w:val="24"/>
          <w:szCs w:val="24"/>
        </w:rPr>
        <w:t>)</w:t>
      </w:r>
      <w:r w:rsidRPr="009B669B">
        <w:rPr>
          <w:rFonts w:cstheme="minorHAnsi"/>
          <w:sz w:val="24"/>
          <w:szCs w:val="24"/>
        </w:rPr>
        <w:t xml:space="preserve">. </w:t>
      </w:r>
    </w:p>
    <w:p w14:paraId="746AEAC8" w14:textId="77777777" w:rsidR="009B669B" w:rsidRDefault="009B669B" w:rsidP="007F7685">
      <w:pPr>
        <w:pStyle w:val="Prrafodelista"/>
        <w:spacing w:before="100" w:beforeAutospacing="1" w:line="276" w:lineRule="auto"/>
        <w:ind w:left="993"/>
        <w:jc w:val="both"/>
        <w:rPr>
          <w:rFonts w:cstheme="minorHAnsi"/>
          <w:sz w:val="24"/>
          <w:szCs w:val="24"/>
        </w:rPr>
      </w:pPr>
    </w:p>
    <w:p w14:paraId="1C5F0CD1" w14:textId="23C949FA" w:rsidR="00576366" w:rsidRDefault="009B669B" w:rsidP="007F7685">
      <w:pPr>
        <w:pStyle w:val="Prrafodelista"/>
        <w:spacing w:before="100" w:beforeAutospacing="1" w:line="276" w:lineRule="auto"/>
        <w:ind w:left="993"/>
        <w:jc w:val="both"/>
        <w:rPr>
          <w:rFonts w:cstheme="minorHAnsi"/>
          <w:sz w:val="24"/>
          <w:szCs w:val="24"/>
        </w:rPr>
      </w:pPr>
      <w:r w:rsidRPr="009B669B">
        <w:rPr>
          <w:rFonts w:cstheme="minorHAnsi"/>
          <w:sz w:val="24"/>
          <w:szCs w:val="24"/>
        </w:rPr>
        <w:t xml:space="preserve">De esta manera se ha obtenido el valor de las cuotas adaptadas una vez grabadas todas las transmisiones temporales de cuota recibidas hasta el </w:t>
      </w:r>
      <w:r w:rsidR="00846DF0">
        <w:rPr>
          <w:rFonts w:cstheme="minorHAnsi"/>
          <w:sz w:val="24"/>
          <w:szCs w:val="24"/>
        </w:rPr>
        <w:t xml:space="preserve">31 de julio </w:t>
      </w:r>
      <w:r w:rsidRPr="009B669B">
        <w:rPr>
          <w:rFonts w:cstheme="minorHAnsi"/>
          <w:sz w:val="24"/>
          <w:szCs w:val="24"/>
        </w:rPr>
        <w:t>que han sido autorizadas</w:t>
      </w:r>
      <w:r>
        <w:rPr>
          <w:rFonts w:cstheme="minorHAnsi"/>
          <w:sz w:val="24"/>
          <w:szCs w:val="24"/>
        </w:rPr>
        <w:t>.</w:t>
      </w:r>
    </w:p>
    <w:p w14:paraId="208DBB12" w14:textId="77777777" w:rsidR="009B669B" w:rsidRDefault="009B669B" w:rsidP="007F7685">
      <w:pPr>
        <w:pStyle w:val="Prrafodelista"/>
        <w:spacing w:before="100" w:beforeAutospacing="1" w:line="276" w:lineRule="auto"/>
        <w:ind w:left="993"/>
        <w:jc w:val="both"/>
        <w:rPr>
          <w:rFonts w:cstheme="minorHAnsi"/>
          <w:sz w:val="24"/>
          <w:szCs w:val="24"/>
        </w:rPr>
      </w:pPr>
    </w:p>
    <w:p w14:paraId="7B0636AE" w14:textId="1B7B4478" w:rsidR="00611D40" w:rsidRDefault="00611D40" w:rsidP="007F7685">
      <w:pPr>
        <w:pStyle w:val="Prrafodelista"/>
        <w:numPr>
          <w:ilvl w:val="0"/>
          <w:numId w:val="8"/>
        </w:numPr>
        <w:ind w:left="993"/>
        <w:jc w:val="both"/>
        <w:rPr>
          <w:rFonts w:cstheme="minorHAnsi"/>
          <w:sz w:val="24"/>
          <w:szCs w:val="24"/>
        </w:rPr>
      </w:pPr>
      <w:r>
        <w:rPr>
          <w:rFonts w:cstheme="minorHAnsi"/>
          <w:sz w:val="24"/>
          <w:szCs w:val="24"/>
        </w:rPr>
        <w:t>P</w:t>
      </w:r>
      <w:r w:rsidRPr="00611D40">
        <w:rPr>
          <w:rFonts w:cstheme="minorHAnsi"/>
          <w:sz w:val="24"/>
          <w:szCs w:val="24"/>
        </w:rPr>
        <w:t xml:space="preserve">ara determinar la cantidad superior al consumo, se ha tenido en cuenta el periodo </w:t>
      </w:r>
      <w:r>
        <w:rPr>
          <w:rFonts w:cstheme="minorHAnsi"/>
          <w:sz w:val="24"/>
          <w:szCs w:val="24"/>
        </w:rPr>
        <w:t xml:space="preserve">comprendido entre </w:t>
      </w:r>
      <w:r w:rsidRPr="00134B86">
        <w:rPr>
          <w:rFonts w:cstheme="minorHAnsi"/>
          <w:sz w:val="24"/>
          <w:szCs w:val="24"/>
        </w:rPr>
        <w:t xml:space="preserve">el </w:t>
      </w:r>
      <w:r w:rsidR="00846DF0">
        <w:rPr>
          <w:rFonts w:cstheme="minorHAnsi"/>
          <w:sz w:val="24"/>
          <w:szCs w:val="24"/>
        </w:rPr>
        <w:t>20 de agosto</w:t>
      </w:r>
      <w:r w:rsidRPr="00611D40">
        <w:rPr>
          <w:rFonts w:cstheme="minorHAnsi"/>
          <w:sz w:val="24"/>
          <w:szCs w:val="24"/>
        </w:rPr>
        <w:t xml:space="preserve"> </w:t>
      </w:r>
      <w:r w:rsidR="00044CA8">
        <w:rPr>
          <w:rFonts w:cstheme="minorHAnsi"/>
          <w:sz w:val="24"/>
          <w:szCs w:val="24"/>
        </w:rPr>
        <w:t>y</w:t>
      </w:r>
      <w:r w:rsidRPr="00611D40">
        <w:rPr>
          <w:rFonts w:cstheme="minorHAnsi"/>
          <w:sz w:val="24"/>
          <w:szCs w:val="24"/>
        </w:rPr>
        <w:t xml:space="preserve"> el 31 de diciembre de 2021</w:t>
      </w:r>
      <w:r w:rsidR="00846DF0">
        <w:rPr>
          <w:rFonts w:cstheme="minorHAnsi"/>
          <w:sz w:val="24"/>
          <w:szCs w:val="24"/>
        </w:rPr>
        <w:t>,</w:t>
      </w:r>
      <w:r w:rsidRPr="00611D40">
        <w:rPr>
          <w:rFonts w:cstheme="minorHAnsi"/>
          <w:sz w:val="24"/>
          <w:szCs w:val="24"/>
        </w:rPr>
        <w:t xml:space="preserve"> 2022</w:t>
      </w:r>
      <w:r w:rsidR="00846DF0">
        <w:rPr>
          <w:rFonts w:cstheme="minorHAnsi"/>
          <w:sz w:val="24"/>
          <w:szCs w:val="24"/>
        </w:rPr>
        <w:t xml:space="preserve"> y 2023</w:t>
      </w:r>
      <w:r w:rsidR="00044CA8">
        <w:rPr>
          <w:rFonts w:cstheme="minorHAnsi"/>
          <w:sz w:val="24"/>
          <w:szCs w:val="24"/>
        </w:rPr>
        <w:t xml:space="preserve">, eligiendo </w:t>
      </w:r>
      <w:r w:rsidRPr="00611D40">
        <w:rPr>
          <w:rFonts w:cstheme="minorHAnsi"/>
          <w:sz w:val="24"/>
          <w:szCs w:val="24"/>
        </w:rPr>
        <w:t>el año de mayor consumo</w:t>
      </w:r>
      <w:r w:rsidR="002C0AFE">
        <w:rPr>
          <w:rFonts w:cstheme="minorHAnsi"/>
          <w:sz w:val="24"/>
          <w:szCs w:val="24"/>
        </w:rPr>
        <w:t xml:space="preserve"> para el cálculo del sobrante en la cuota de los buques o grupos de buques</w:t>
      </w:r>
      <w:r w:rsidR="00044CA8">
        <w:rPr>
          <w:rFonts w:cstheme="minorHAnsi"/>
          <w:sz w:val="24"/>
          <w:szCs w:val="24"/>
        </w:rPr>
        <w:t xml:space="preserve"> </w:t>
      </w:r>
      <w:r w:rsidR="00044CA8" w:rsidRPr="009B669B">
        <w:rPr>
          <w:rFonts w:cstheme="minorHAnsi"/>
          <w:sz w:val="24"/>
          <w:szCs w:val="24"/>
        </w:rPr>
        <w:t xml:space="preserve">(artículo 7 bis, apartado </w:t>
      </w:r>
      <w:r w:rsidR="00044CA8">
        <w:rPr>
          <w:rFonts w:cstheme="minorHAnsi"/>
          <w:sz w:val="24"/>
          <w:szCs w:val="24"/>
        </w:rPr>
        <w:t>2</w:t>
      </w:r>
      <w:r w:rsidR="00044CA8" w:rsidRPr="009B669B">
        <w:rPr>
          <w:rFonts w:cstheme="minorHAnsi"/>
          <w:sz w:val="24"/>
          <w:szCs w:val="24"/>
        </w:rPr>
        <w:t xml:space="preserve">, de la Orden APA/372/2020, de 24 de abril, puesto en relación con la disposición transitoria única de la Orden </w:t>
      </w:r>
      <w:bookmarkStart w:id="0" w:name="_Hlk146106265"/>
      <w:r w:rsidR="00044CA8">
        <w:rPr>
          <w:rFonts w:cstheme="minorHAnsi"/>
          <w:sz w:val="24"/>
          <w:szCs w:val="24"/>
        </w:rPr>
        <w:t>APA/1009/2023, de 29 de agosto</w:t>
      </w:r>
      <w:bookmarkEnd w:id="0"/>
      <w:r w:rsidR="00044CA8">
        <w:rPr>
          <w:rFonts w:cstheme="minorHAnsi"/>
          <w:sz w:val="24"/>
          <w:szCs w:val="24"/>
        </w:rPr>
        <w:t>)</w:t>
      </w:r>
      <w:r w:rsidRPr="00611D40">
        <w:rPr>
          <w:rFonts w:cstheme="minorHAnsi"/>
          <w:sz w:val="24"/>
          <w:szCs w:val="24"/>
        </w:rPr>
        <w:t xml:space="preserve">. </w:t>
      </w:r>
    </w:p>
    <w:p w14:paraId="475A591C" w14:textId="77777777" w:rsidR="00F462C6" w:rsidRPr="00611D40" w:rsidRDefault="00F462C6" w:rsidP="007F7685">
      <w:pPr>
        <w:pStyle w:val="Prrafodelista"/>
        <w:ind w:left="993"/>
        <w:jc w:val="both"/>
        <w:rPr>
          <w:rFonts w:cstheme="minorHAnsi"/>
          <w:sz w:val="24"/>
          <w:szCs w:val="24"/>
        </w:rPr>
      </w:pPr>
    </w:p>
    <w:p w14:paraId="14E76B20" w14:textId="51E00780" w:rsidR="009B669B" w:rsidRDefault="00F462C6" w:rsidP="007F7685">
      <w:pPr>
        <w:pStyle w:val="Prrafodelista"/>
        <w:numPr>
          <w:ilvl w:val="0"/>
          <w:numId w:val="8"/>
        </w:numPr>
        <w:spacing w:before="100" w:beforeAutospacing="1" w:line="276" w:lineRule="auto"/>
        <w:ind w:left="993"/>
        <w:jc w:val="both"/>
        <w:rPr>
          <w:rFonts w:cstheme="minorHAnsi"/>
          <w:sz w:val="24"/>
          <w:szCs w:val="24"/>
        </w:rPr>
      </w:pPr>
      <w:r>
        <w:rPr>
          <w:rFonts w:cstheme="minorHAnsi"/>
          <w:sz w:val="24"/>
          <w:szCs w:val="24"/>
        </w:rPr>
        <w:t>S</w:t>
      </w:r>
      <w:r w:rsidRPr="00F462C6">
        <w:rPr>
          <w:rFonts w:cstheme="minorHAnsi"/>
          <w:sz w:val="24"/>
          <w:szCs w:val="24"/>
        </w:rPr>
        <w:t xml:space="preserve">e han obtenido los potenciales sobrantes restando a la cuota adaptada el consumo a </w:t>
      </w:r>
      <w:r w:rsidR="00846DF0">
        <w:rPr>
          <w:rFonts w:cstheme="minorHAnsi"/>
          <w:sz w:val="24"/>
          <w:szCs w:val="24"/>
        </w:rPr>
        <w:t>20 de agosto</w:t>
      </w:r>
      <w:r w:rsidRPr="00F462C6">
        <w:rPr>
          <w:rFonts w:cstheme="minorHAnsi"/>
          <w:sz w:val="24"/>
          <w:szCs w:val="24"/>
        </w:rPr>
        <w:t xml:space="preserve"> de 202</w:t>
      </w:r>
      <w:r w:rsidR="00846DF0">
        <w:rPr>
          <w:rFonts w:cstheme="minorHAnsi"/>
          <w:sz w:val="24"/>
          <w:szCs w:val="24"/>
        </w:rPr>
        <w:t>4</w:t>
      </w:r>
      <w:r w:rsidRPr="00F462C6">
        <w:rPr>
          <w:rFonts w:cstheme="minorHAnsi"/>
          <w:sz w:val="24"/>
          <w:szCs w:val="24"/>
        </w:rPr>
        <w:t xml:space="preserve"> y el valor máximo del periodo entre el </w:t>
      </w:r>
      <w:r w:rsidR="00846DF0">
        <w:rPr>
          <w:rFonts w:cstheme="minorHAnsi"/>
          <w:sz w:val="24"/>
          <w:szCs w:val="24"/>
        </w:rPr>
        <w:t xml:space="preserve">20 de agosto </w:t>
      </w:r>
      <w:r w:rsidRPr="00F462C6">
        <w:rPr>
          <w:rFonts w:cstheme="minorHAnsi"/>
          <w:sz w:val="24"/>
          <w:szCs w:val="24"/>
        </w:rPr>
        <w:t>y el 31 de diciembre de los últimos tres años.</w:t>
      </w:r>
    </w:p>
    <w:p w14:paraId="3CD6C228" w14:textId="77777777" w:rsidR="00271109" w:rsidRPr="00271109" w:rsidRDefault="00271109" w:rsidP="00A916C2">
      <w:pPr>
        <w:pStyle w:val="Prrafodelista"/>
        <w:spacing w:before="100" w:beforeAutospacing="1" w:line="276" w:lineRule="auto"/>
        <w:ind w:left="993"/>
        <w:jc w:val="both"/>
        <w:rPr>
          <w:rFonts w:cstheme="minorHAnsi"/>
          <w:sz w:val="24"/>
          <w:szCs w:val="24"/>
        </w:rPr>
      </w:pPr>
    </w:p>
    <w:p w14:paraId="773EBC9D" w14:textId="3863A2F2" w:rsidR="00271109" w:rsidRPr="00A916C2" w:rsidRDefault="00271109" w:rsidP="00A916C2">
      <w:pPr>
        <w:pStyle w:val="Prrafodelista"/>
        <w:numPr>
          <w:ilvl w:val="0"/>
          <w:numId w:val="8"/>
        </w:numPr>
        <w:spacing w:before="100" w:beforeAutospacing="1" w:line="276" w:lineRule="auto"/>
        <w:ind w:left="993"/>
        <w:jc w:val="both"/>
        <w:rPr>
          <w:rFonts w:cstheme="minorHAnsi"/>
          <w:sz w:val="24"/>
          <w:szCs w:val="24"/>
        </w:rPr>
      </w:pPr>
      <w:r w:rsidRPr="00A916C2">
        <w:rPr>
          <w:rFonts w:cstheme="minorHAnsi"/>
          <w:sz w:val="24"/>
          <w:szCs w:val="24"/>
        </w:rPr>
        <w:t xml:space="preserve">A fecha </w:t>
      </w:r>
      <w:r w:rsidR="00846DF0" w:rsidRPr="00A916C2">
        <w:rPr>
          <w:rFonts w:cstheme="minorHAnsi"/>
          <w:sz w:val="24"/>
          <w:szCs w:val="24"/>
        </w:rPr>
        <w:t>20 de agosto</w:t>
      </w:r>
      <w:r w:rsidRPr="00A916C2">
        <w:rPr>
          <w:rFonts w:cstheme="minorHAnsi"/>
          <w:sz w:val="24"/>
          <w:szCs w:val="24"/>
        </w:rPr>
        <w:t xml:space="preserve">, los buques pertenecientes a las flotas </w:t>
      </w:r>
      <w:r w:rsidR="00A916C2" w:rsidRPr="00A916C2">
        <w:rPr>
          <w:rFonts w:cstheme="minorHAnsi"/>
          <w:sz w:val="24"/>
          <w:szCs w:val="24"/>
        </w:rPr>
        <w:t xml:space="preserve">reflejadas en las listas del artículo 2 de la </w:t>
      </w:r>
      <w:r w:rsidR="00A916C2" w:rsidRPr="00A916C2">
        <w:rPr>
          <w:rFonts w:cstheme="minorHAnsi"/>
          <w:sz w:val="24"/>
          <w:szCs w:val="24"/>
        </w:rPr>
        <w:t>Orden APA/372/2020, de 24 de abril</w:t>
      </w:r>
      <w:r w:rsidR="00A916C2">
        <w:rPr>
          <w:rFonts w:cstheme="minorHAnsi"/>
          <w:sz w:val="24"/>
          <w:szCs w:val="24"/>
        </w:rPr>
        <w:t xml:space="preserve"> </w:t>
      </w:r>
      <w:r w:rsidRPr="00A916C2">
        <w:rPr>
          <w:rFonts w:cstheme="minorHAnsi"/>
          <w:sz w:val="24"/>
          <w:szCs w:val="24"/>
        </w:rPr>
        <w:t>no han consumido su cuota del stock BET/ATLANT.</w:t>
      </w:r>
    </w:p>
    <w:p w14:paraId="25FC9444" w14:textId="77777777" w:rsidR="002578E6" w:rsidRPr="00D61F22" w:rsidRDefault="002578E6" w:rsidP="002578E6">
      <w:pPr>
        <w:pStyle w:val="Prrafodelista"/>
        <w:rPr>
          <w:rFonts w:eastAsia="Times New Roman" w:cstheme="minorHAnsi"/>
          <w:color w:val="000000"/>
          <w:sz w:val="24"/>
          <w:szCs w:val="24"/>
          <w:lang w:eastAsia="es-ES"/>
        </w:rPr>
      </w:pPr>
    </w:p>
    <w:p w14:paraId="5CE64F7F" w14:textId="3276516E" w:rsidR="002578E6" w:rsidRPr="00D61F22" w:rsidRDefault="002578E6" w:rsidP="002578E6">
      <w:pPr>
        <w:pStyle w:val="Prrafodelista"/>
        <w:numPr>
          <w:ilvl w:val="0"/>
          <w:numId w:val="8"/>
        </w:numPr>
        <w:spacing w:before="100" w:beforeAutospacing="1" w:line="276" w:lineRule="auto"/>
        <w:ind w:left="993"/>
        <w:jc w:val="both"/>
        <w:rPr>
          <w:rFonts w:eastAsia="Times New Roman" w:cstheme="minorHAnsi"/>
          <w:color w:val="000000"/>
          <w:sz w:val="24"/>
          <w:szCs w:val="24"/>
          <w:lang w:eastAsia="es-ES"/>
        </w:rPr>
      </w:pPr>
      <w:r w:rsidRPr="00D61F22">
        <w:rPr>
          <w:rFonts w:eastAsia="Times New Roman" w:cstheme="minorHAnsi"/>
          <w:color w:val="000000"/>
          <w:sz w:val="24"/>
          <w:szCs w:val="24"/>
          <w:lang w:eastAsia="es-ES"/>
        </w:rPr>
        <w:t>Por ello</w:t>
      </w:r>
      <w:r w:rsidR="008269C7" w:rsidRPr="00D61F22">
        <w:rPr>
          <w:rFonts w:eastAsia="Times New Roman" w:cstheme="minorHAnsi"/>
          <w:color w:val="000000"/>
          <w:sz w:val="24"/>
          <w:szCs w:val="24"/>
          <w:lang w:eastAsia="es-ES"/>
        </w:rPr>
        <w:t>,</w:t>
      </w:r>
      <w:r w:rsidRPr="00D61F22">
        <w:rPr>
          <w:rFonts w:eastAsia="Times New Roman" w:cstheme="minorHAnsi"/>
          <w:color w:val="000000"/>
          <w:sz w:val="24"/>
          <w:szCs w:val="24"/>
          <w:lang w:eastAsia="es-ES"/>
        </w:rPr>
        <w:t xml:space="preserve"> </w:t>
      </w:r>
      <w:r w:rsidR="008269C7" w:rsidRPr="00D61F22">
        <w:rPr>
          <w:rFonts w:eastAsia="Times New Roman" w:cstheme="minorHAnsi"/>
          <w:color w:val="000000"/>
          <w:sz w:val="24"/>
          <w:szCs w:val="24"/>
          <w:lang w:eastAsia="es-ES"/>
        </w:rPr>
        <w:t xml:space="preserve">los buques </w:t>
      </w:r>
      <w:r w:rsidR="00D151F1" w:rsidRPr="00D61F22">
        <w:rPr>
          <w:rFonts w:eastAsia="Times New Roman" w:cstheme="minorHAnsi"/>
          <w:color w:val="000000"/>
          <w:sz w:val="24"/>
          <w:szCs w:val="24"/>
          <w:lang w:eastAsia="es-ES"/>
        </w:rPr>
        <w:t xml:space="preserve">o grupo de buques citados </w:t>
      </w:r>
      <w:r w:rsidR="008269C7" w:rsidRPr="00D61F22">
        <w:rPr>
          <w:rFonts w:eastAsia="Times New Roman" w:cstheme="minorHAnsi"/>
          <w:color w:val="000000"/>
          <w:sz w:val="24"/>
          <w:szCs w:val="24"/>
          <w:lang w:eastAsia="es-ES"/>
        </w:rPr>
        <w:t>en el punto e) solo podrán acceder a la cuota co</w:t>
      </w:r>
      <w:r w:rsidR="009773D8" w:rsidRPr="00D61F22">
        <w:rPr>
          <w:rFonts w:eastAsia="Times New Roman" w:cstheme="minorHAnsi"/>
          <w:color w:val="000000"/>
          <w:sz w:val="24"/>
          <w:szCs w:val="24"/>
          <w:lang w:eastAsia="es-ES"/>
        </w:rPr>
        <w:t>mún</w:t>
      </w:r>
      <w:r w:rsidR="008269C7" w:rsidRPr="00D61F22">
        <w:rPr>
          <w:rFonts w:eastAsia="Times New Roman" w:cstheme="minorHAnsi"/>
          <w:color w:val="000000"/>
          <w:sz w:val="24"/>
          <w:szCs w:val="24"/>
          <w:lang w:eastAsia="es-ES"/>
        </w:rPr>
        <w:t xml:space="preserve"> del mecanismo de optimización una vez hayan agotado sus respectivas cuotas</w:t>
      </w:r>
      <w:r w:rsidRPr="00D61F22">
        <w:rPr>
          <w:rFonts w:eastAsia="Times New Roman" w:cstheme="minorHAnsi"/>
          <w:color w:val="000000"/>
          <w:sz w:val="24"/>
          <w:szCs w:val="24"/>
          <w:lang w:eastAsia="es-ES"/>
        </w:rPr>
        <w:t xml:space="preserve">, </w:t>
      </w:r>
      <w:r w:rsidR="008269C7" w:rsidRPr="00D61F22">
        <w:rPr>
          <w:rFonts w:eastAsia="Times New Roman" w:cstheme="minorHAnsi"/>
          <w:color w:val="000000"/>
          <w:sz w:val="24"/>
          <w:szCs w:val="24"/>
          <w:lang w:eastAsia="es-ES"/>
        </w:rPr>
        <w:t>según l</w:t>
      </w:r>
      <w:r w:rsidRPr="00D61F22">
        <w:rPr>
          <w:rFonts w:eastAsia="Times New Roman" w:cstheme="minorHAnsi"/>
          <w:color w:val="000000"/>
          <w:sz w:val="24"/>
          <w:szCs w:val="24"/>
          <w:lang w:eastAsia="es-ES"/>
        </w:rPr>
        <w:t xml:space="preserve">o dispuesto en el anexo I de la Resolución de 3 de </w:t>
      </w:r>
      <w:r w:rsidR="005609C5">
        <w:rPr>
          <w:rFonts w:eastAsia="Times New Roman" w:cstheme="minorHAnsi"/>
          <w:color w:val="000000"/>
          <w:sz w:val="24"/>
          <w:szCs w:val="24"/>
          <w:lang w:eastAsia="es-ES"/>
        </w:rPr>
        <w:t>abril</w:t>
      </w:r>
      <w:r w:rsidR="005609C5" w:rsidRPr="00D61F22">
        <w:rPr>
          <w:rFonts w:eastAsia="Times New Roman" w:cstheme="minorHAnsi"/>
          <w:color w:val="000000"/>
          <w:sz w:val="24"/>
          <w:szCs w:val="24"/>
          <w:lang w:eastAsia="es-ES"/>
        </w:rPr>
        <w:t xml:space="preserve"> </w:t>
      </w:r>
      <w:r w:rsidRPr="00D61F22">
        <w:rPr>
          <w:rFonts w:eastAsia="Times New Roman" w:cstheme="minorHAnsi"/>
          <w:color w:val="000000"/>
          <w:sz w:val="24"/>
          <w:szCs w:val="24"/>
          <w:lang w:eastAsia="es-ES"/>
        </w:rPr>
        <w:t>de 202</w:t>
      </w:r>
      <w:r w:rsidR="005609C5">
        <w:rPr>
          <w:rFonts w:eastAsia="Times New Roman" w:cstheme="minorHAnsi"/>
          <w:color w:val="000000"/>
          <w:sz w:val="24"/>
          <w:szCs w:val="24"/>
          <w:lang w:eastAsia="es-ES"/>
        </w:rPr>
        <w:t>4</w:t>
      </w:r>
      <w:r w:rsidRPr="00D61F22">
        <w:rPr>
          <w:rFonts w:eastAsia="Times New Roman" w:cstheme="minorHAnsi"/>
          <w:color w:val="000000"/>
          <w:sz w:val="24"/>
          <w:szCs w:val="24"/>
          <w:lang w:eastAsia="es-ES"/>
        </w:rPr>
        <w:t>, de la Secretaría General de Pesca, por la que se dispone la asignación de cuotas de patudo (</w:t>
      </w:r>
      <w:proofErr w:type="spellStart"/>
      <w:r w:rsidRPr="00D61F22">
        <w:rPr>
          <w:rFonts w:eastAsia="Times New Roman" w:cstheme="minorHAnsi"/>
          <w:i/>
          <w:iCs/>
          <w:color w:val="000000"/>
          <w:sz w:val="24"/>
          <w:szCs w:val="24"/>
          <w:lang w:eastAsia="es-ES"/>
        </w:rPr>
        <w:t>Thunnus</w:t>
      </w:r>
      <w:proofErr w:type="spellEnd"/>
      <w:r w:rsidRPr="00D61F22">
        <w:rPr>
          <w:rFonts w:eastAsia="Times New Roman" w:cstheme="minorHAnsi"/>
          <w:i/>
          <w:iCs/>
          <w:color w:val="000000"/>
          <w:sz w:val="24"/>
          <w:szCs w:val="24"/>
          <w:lang w:eastAsia="es-ES"/>
        </w:rPr>
        <w:t xml:space="preserve"> </w:t>
      </w:r>
      <w:proofErr w:type="spellStart"/>
      <w:r w:rsidRPr="00D61F22">
        <w:rPr>
          <w:rFonts w:eastAsia="Times New Roman" w:cstheme="minorHAnsi"/>
          <w:i/>
          <w:iCs/>
          <w:color w:val="000000"/>
          <w:sz w:val="24"/>
          <w:szCs w:val="24"/>
          <w:lang w:eastAsia="es-ES"/>
        </w:rPr>
        <w:t>obesus</w:t>
      </w:r>
      <w:proofErr w:type="spellEnd"/>
      <w:r w:rsidRPr="00D61F22">
        <w:rPr>
          <w:rFonts w:eastAsia="Times New Roman" w:cstheme="minorHAnsi"/>
          <w:color w:val="000000"/>
          <w:sz w:val="24"/>
          <w:szCs w:val="24"/>
          <w:lang w:eastAsia="es-ES"/>
        </w:rPr>
        <w:t>) y  publicación del censo específico de buques autorizados a la pesca de patudo en el Océano Atlántico creado por la Orden APA/372/2020, por la que se regula la pesquería de patudo (</w:t>
      </w:r>
      <w:proofErr w:type="spellStart"/>
      <w:r w:rsidRPr="00D61F22">
        <w:rPr>
          <w:rFonts w:eastAsia="Times New Roman" w:cstheme="minorHAnsi"/>
          <w:i/>
          <w:iCs/>
          <w:color w:val="000000"/>
          <w:sz w:val="24"/>
          <w:szCs w:val="24"/>
          <w:lang w:eastAsia="es-ES"/>
        </w:rPr>
        <w:t>Thunnus</w:t>
      </w:r>
      <w:proofErr w:type="spellEnd"/>
      <w:r w:rsidRPr="00D61F22">
        <w:rPr>
          <w:rFonts w:eastAsia="Times New Roman" w:cstheme="minorHAnsi"/>
          <w:i/>
          <w:iCs/>
          <w:color w:val="000000"/>
          <w:sz w:val="24"/>
          <w:szCs w:val="24"/>
          <w:lang w:eastAsia="es-ES"/>
        </w:rPr>
        <w:t xml:space="preserve"> </w:t>
      </w:r>
      <w:proofErr w:type="spellStart"/>
      <w:r w:rsidRPr="00D61F22">
        <w:rPr>
          <w:rFonts w:eastAsia="Times New Roman" w:cstheme="minorHAnsi"/>
          <w:i/>
          <w:iCs/>
          <w:color w:val="000000"/>
          <w:sz w:val="24"/>
          <w:szCs w:val="24"/>
          <w:lang w:eastAsia="es-ES"/>
        </w:rPr>
        <w:t>obesus</w:t>
      </w:r>
      <w:proofErr w:type="spellEnd"/>
      <w:r w:rsidRPr="00D61F22">
        <w:rPr>
          <w:rFonts w:eastAsia="Times New Roman" w:cstheme="minorHAnsi"/>
          <w:color w:val="000000"/>
          <w:sz w:val="24"/>
          <w:szCs w:val="24"/>
          <w:lang w:eastAsia="es-ES"/>
        </w:rPr>
        <w:t>) en el Océano Atlántico y se establece un censo de buques autorizados a la pesca de patudo.</w:t>
      </w:r>
    </w:p>
    <w:p w14:paraId="76E76DA8" w14:textId="77777777" w:rsidR="007F7685" w:rsidRPr="002578E6" w:rsidRDefault="007F7685" w:rsidP="007F7685">
      <w:pPr>
        <w:pStyle w:val="Prrafodelista"/>
        <w:ind w:left="993"/>
        <w:rPr>
          <w:rFonts w:cstheme="minorHAnsi"/>
          <w:sz w:val="24"/>
          <w:szCs w:val="24"/>
        </w:rPr>
      </w:pPr>
    </w:p>
    <w:p w14:paraId="62C3AFE8" w14:textId="7065CED0" w:rsidR="009B30A1" w:rsidRPr="002578E6" w:rsidRDefault="007F7685" w:rsidP="007B3106">
      <w:pPr>
        <w:pStyle w:val="Prrafodelista"/>
        <w:numPr>
          <w:ilvl w:val="0"/>
          <w:numId w:val="8"/>
        </w:numPr>
        <w:spacing w:before="100" w:beforeAutospacing="1" w:line="276" w:lineRule="auto"/>
        <w:ind w:left="993"/>
        <w:jc w:val="both"/>
        <w:rPr>
          <w:rFonts w:cstheme="minorHAnsi"/>
          <w:sz w:val="24"/>
          <w:szCs w:val="24"/>
        </w:rPr>
      </w:pPr>
      <w:r w:rsidRPr="002578E6">
        <w:rPr>
          <w:rFonts w:cstheme="minorHAnsi"/>
          <w:sz w:val="24"/>
          <w:szCs w:val="24"/>
        </w:rPr>
        <w:t>La cuota disponible de la población de patudo (</w:t>
      </w:r>
      <w:proofErr w:type="spellStart"/>
      <w:r w:rsidRPr="002578E6">
        <w:rPr>
          <w:rFonts w:cstheme="minorHAnsi"/>
          <w:i/>
          <w:iCs/>
          <w:sz w:val="24"/>
          <w:szCs w:val="24"/>
        </w:rPr>
        <w:t>Thunnus</w:t>
      </w:r>
      <w:proofErr w:type="spellEnd"/>
      <w:r w:rsidRPr="002578E6">
        <w:rPr>
          <w:rFonts w:cstheme="minorHAnsi"/>
          <w:i/>
          <w:iCs/>
          <w:sz w:val="24"/>
          <w:szCs w:val="24"/>
        </w:rPr>
        <w:t xml:space="preserve"> </w:t>
      </w:r>
      <w:proofErr w:type="spellStart"/>
      <w:r w:rsidRPr="002578E6">
        <w:rPr>
          <w:rFonts w:cstheme="minorHAnsi"/>
          <w:i/>
          <w:iCs/>
          <w:sz w:val="24"/>
          <w:szCs w:val="24"/>
        </w:rPr>
        <w:t>obesus</w:t>
      </w:r>
      <w:proofErr w:type="spellEnd"/>
      <w:r w:rsidRPr="002578E6">
        <w:rPr>
          <w:rFonts w:cstheme="minorHAnsi"/>
          <w:sz w:val="24"/>
          <w:szCs w:val="24"/>
        </w:rPr>
        <w:t>) de la zona regulada por la Comisión Internacional para la Conservación del Atún Atlántico (CICAA)</w:t>
      </w:r>
      <w:r w:rsidR="00E83442">
        <w:rPr>
          <w:rFonts w:cstheme="minorHAnsi"/>
          <w:sz w:val="24"/>
          <w:szCs w:val="24"/>
        </w:rPr>
        <w:t xml:space="preserve"> </w:t>
      </w:r>
      <w:r w:rsidR="00E83442" w:rsidRPr="002578E6">
        <w:rPr>
          <w:rFonts w:cstheme="minorHAnsi"/>
          <w:sz w:val="24"/>
          <w:szCs w:val="24"/>
        </w:rPr>
        <w:t>a la fecha de publicación de la resolución</w:t>
      </w:r>
      <w:r w:rsidRPr="002578E6">
        <w:rPr>
          <w:rFonts w:cstheme="minorHAnsi"/>
          <w:sz w:val="24"/>
          <w:szCs w:val="24"/>
        </w:rPr>
        <w:t xml:space="preserve"> </w:t>
      </w:r>
      <w:r w:rsidRPr="00E83442">
        <w:rPr>
          <w:rFonts w:eastAsia="Times New Roman" w:cstheme="minorHAnsi"/>
          <w:color w:val="000000"/>
          <w:sz w:val="24"/>
          <w:szCs w:val="24"/>
          <w:lang w:eastAsia="es-ES"/>
        </w:rPr>
        <w:t>asciende a 8.</w:t>
      </w:r>
      <w:r w:rsidR="00E83442" w:rsidRPr="00E83442">
        <w:rPr>
          <w:rFonts w:eastAsia="Times New Roman" w:cstheme="minorHAnsi"/>
          <w:color w:val="000000"/>
          <w:sz w:val="24"/>
          <w:szCs w:val="24"/>
          <w:lang w:eastAsia="es-ES"/>
        </w:rPr>
        <w:t>338</w:t>
      </w:r>
      <w:r w:rsidRPr="00E83442">
        <w:rPr>
          <w:rFonts w:eastAsia="Times New Roman" w:cstheme="minorHAnsi"/>
          <w:color w:val="000000"/>
          <w:sz w:val="24"/>
          <w:szCs w:val="24"/>
          <w:lang w:eastAsia="es-ES"/>
        </w:rPr>
        <w:t>.</w:t>
      </w:r>
      <w:r w:rsidR="00E83442" w:rsidRPr="00E83442">
        <w:rPr>
          <w:rFonts w:eastAsia="Times New Roman" w:cstheme="minorHAnsi"/>
          <w:color w:val="000000"/>
          <w:sz w:val="24"/>
          <w:szCs w:val="24"/>
          <w:lang w:eastAsia="es-ES"/>
        </w:rPr>
        <w:t>40</w:t>
      </w:r>
      <w:r w:rsidRPr="00E83442">
        <w:rPr>
          <w:rFonts w:eastAsia="Times New Roman" w:cstheme="minorHAnsi"/>
          <w:color w:val="000000"/>
          <w:sz w:val="24"/>
          <w:szCs w:val="24"/>
          <w:lang w:eastAsia="es-ES"/>
        </w:rPr>
        <w:t>0 kg.</w:t>
      </w:r>
    </w:p>
    <w:p w14:paraId="5DCF747A" w14:textId="77777777" w:rsidR="009773D8" w:rsidRDefault="009773D8" w:rsidP="00361EA2">
      <w:pPr>
        <w:pStyle w:val="Prrafodelista"/>
        <w:spacing w:before="100" w:beforeAutospacing="1" w:line="276" w:lineRule="auto"/>
        <w:ind w:left="142"/>
        <w:jc w:val="both"/>
        <w:rPr>
          <w:rFonts w:cstheme="minorHAnsi"/>
          <w:sz w:val="24"/>
          <w:szCs w:val="24"/>
        </w:rPr>
      </w:pPr>
    </w:p>
    <w:p w14:paraId="2A1A8189" w14:textId="096E0C03" w:rsidR="007B3106" w:rsidRPr="007C54E1" w:rsidRDefault="007C54E1" w:rsidP="00361EA2">
      <w:pPr>
        <w:pStyle w:val="Prrafodelista"/>
        <w:spacing w:before="100" w:beforeAutospacing="1" w:line="276" w:lineRule="auto"/>
        <w:ind w:left="142"/>
        <w:jc w:val="both"/>
        <w:rPr>
          <w:rFonts w:cstheme="minorHAnsi"/>
          <w:sz w:val="24"/>
          <w:szCs w:val="24"/>
        </w:rPr>
      </w:pPr>
      <w:r w:rsidRPr="00134B86">
        <w:rPr>
          <w:rFonts w:cstheme="minorHAnsi"/>
          <w:sz w:val="24"/>
          <w:szCs w:val="24"/>
        </w:rPr>
        <w:lastRenderedPageBreak/>
        <w:t>Las cantidades</w:t>
      </w:r>
      <w:r w:rsidR="00361EA2" w:rsidRPr="00134B86">
        <w:rPr>
          <w:rFonts w:cstheme="minorHAnsi"/>
          <w:sz w:val="24"/>
          <w:szCs w:val="24"/>
        </w:rPr>
        <w:t xml:space="preserve"> sobrantes y aportadas a la cuota común del mecanismo de optimización </w:t>
      </w:r>
      <w:r w:rsidR="00361EA2">
        <w:rPr>
          <w:rFonts w:cstheme="minorHAnsi"/>
          <w:sz w:val="24"/>
          <w:szCs w:val="24"/>
        </w:rPr>
        <w:t xml:space="preserve">por listas o buques se recogen de forma detallada en </w:t>
      </w:r>
      <w:r w:rsidR="00361EA2" w:rsidRPr="00B53F21">
        <w:rPr>
          <w:rFonts w:cstheme="minorHAnsi"/>
          <w:sz w:val="24"/>
          <w:szCs w:val="24"/>
        </w:rPr>
        <w:t xml:space="preserve">el </w:t>
      </w:r>
      <w:r w:rsidR="00361EA2" w:rsidRPr="00D32A1B">
        <w:rPr>
          <w:rFonts w:cstheme="minorHAnsi"/>
          <w:sz w:val="24"/>
          <w:szCs w:val="24"/>
        </w:rPr>
        <w:t>Anexo</w:t>
      </w:r>
      <w:r w:rsidR="00B53F21" w:rsidRPr="00B53F21">
        <w:rPr>
          <w:rFonts w:cstheme="minorHAnsi"/>
          <w:sz w:val="24"/>
          <w:szCs w:val="24"/>
        </w:rPr>
        <w:t xml:space="preserve"> </w:t>
      </w:r>
      <w:r w:rsidR="00361EA2" w:rsidRPr="00B53F21">
        <w:rPr>
          <w:rFonts w:cstheme="minorHAnsi"/>
          <w:sz w:val="24"/>
          <w:szCs w:val="24"/>
        </w:rPr>
        <w:t>de</w:t>
      </w:r>
      <w:r w:rsidR="00361EA2">
        <w:rPr>
          <w:rFonts w:cstheme="minorHAnsi"/>
          <w:sz w:val="24"/>
          <w:szCs w:val="24"/>
        </w:rPr>
        <w:t xml:space="preserve"> la presente resolución.</w:t>
      </w:r>
    </w:p>
    <w:p w14:paraId="7E44A27D" w14:textId="77777777" w:rsidR="007B3106" w:rsidRPr="007B3106" w:rsidRDefault="007B3106" w:rsidP="007B3106">
      <w:pPr>
        <w:pStyle w:val="Prrafodelista"/>
        <w:spacing w:before="100" w:beforeAutospacing="1" w:line="276" w:lineRule="auto"/>
        <w:ind w:left="993"/>
        <w:jc w:val="both"/>
        <w:rPr>
          <w:rFonts w:cstheme="minorHAnsi"/>
          <w:sz w:val="24"/>
          <w:szCs w:val="24"/>
        </w:rPr>
      </w:pPr>
    </w:p>
    <w:p w14:paraId="24260A66" w14:textId="288CCB68" w:rsidR="00327904" w:rsidRDefault="00DA686E" w:rsidP="009B30A1">
      <w:pPr>
        <w:spacing w:before="100" w:beforeAutospacing="1" w:after="240" w:line="276" w:lineRule="auto"/>
        <w:jc w:val="both"/>
        <w:rPr>
          <w:rFonts w:eastAsia="Times New Roman" w:cstheme="minorHAnsi"/>
          <w:color w:val="000000"/>
          <w:sz w:val="24"/>
          <w:szCs w:val="24"/>
          <w:lang w:eastAsia="es-ES"/>
        </w:rPr>
      </w:pPr>
      <w:r>
        <w:rPr>
          <w:rFonts w:eastAsia="Times New Roman" w:cstheme="minorHAnsi"/>
          <w:color w:val="000000"/>
          <w:sz w:val="24"/>
          <w:szCs w:val="24"/>
          <w:lang w:eastAsia="es-ES"/>
        </w:rPr>
        <w:t xml:space="preserve">Por todo lo expuesto, oído el sector </w:t>
      </w:r>
      <w:r w:rsidR="00F67A0E">
        <w:rPr>
          <w:rFonts w:eastAsia="Times New Roman" w:cstheme="minorHAnsi"/>
          <w:color w:val="000000"/>
          <w:sz w:val="24"/>
          <w:szCs w:val="24"/>
          <w:lang w:eastAsia="es-ES"/>
        </w:rPr>
        <w:t>y las comunidades autónomas,</w:t>
      </w:r>
    </w:p>
    <w:p w14:paraId="63DE6CC5" w14:textId="66FFA78B" w:rsidR="00CE45FF" w:rsidRPr="002578E6" w:rsidRDefault="00F70659" w:rsidP="009B30A1">
      <w:pPr>
        <w:spacing w:before="100" w:beforeAutospacing="1" w:after="240" w:line="276" w:lineRule="auto"/>
        <w:jc w:val="center"/>
        <w:rPr>
          <w:rFonts w:eastAsia="Times New Roman" w:cstheme="minorHAnsi"/>
          <w:b/>
          <w:bCs/>
          <w:color w:val="000000"/>
          <w:sz w:val="24"/>
          <w:szCs w:val="24"/>
          <w:lang w:eastAsia="es-ES"/>
        </w:rPr>
      </w:pPr>
      <w:r w:rsidRPr="002578E6">
        <w:rPr>
          <w:rFonts w:eastAsia="Times New Roman" w:cstheme="minorHAnsi"/>
          <w:b/>
          <w:bCs/>
          <w:color w:val="000000"/>
          <w:sz w:val="24"/>
          <w:szCs w:val="24"/>
          <w:lang w:eastAsia="es-ES"/>
        </w:rPr>
        <w:t>RESUELVO</w:t>
      </w:r>
    </w:p>
    <w:p w14:paraId="0FE3A7F6" w14:textId="001EB46B" w:rsidR="00F0704E" w:rsidRPr="0097701E" w:rsidRDefault="00DA686E" w:rsidP="0097701E">
      <w:pPr>
        <w:shd w:val="clear" w:color="auto" w:fill="FFFFFF"/>
        <w:spacing w:before="100" w:beforeAutospacing="1" w:line="276" w:lineRule="auto"/>
        <w:jc w:val="both"/>
        <w:rPr>
          <w:rFonts w:cstheme="minorHAnsi"/>
          <w:sz w:val="24"/>
          <w:szCs w:val="24"/>
        </w:rPr>
      </w:pPr>
      <w:r w:rsidRPr="002578E6">
        <w:rPr>
          <w:rFonts w:eastAsia="Times New Roman" w:cstheme="minorHAnsi"/>
          <w:b/>
          <w:bCs/>
          <w:color w:val="000000"/>
          <w:sz w:val="24"/>
          <w:szCs w:val="24"/>
          <w:lang w:eastAsia="es-ES"/>
        </w:rPr>
        <w:t>Primero</w:t>
      </w:r>
      <w:r w:rsidR="00F70659" w:rsidRPr="002578E6">
        <w:rPr>
          <w:rFonts w:eastAsia="Times New Roman" w:cstheme="minorHAnsi"/>
          <w:b/>
          <w:bCs/>
          <w:color w:val="000000"/>
          <w:sz w:val="24"/>
          <w:szCs w:val="24"/>
          <w:lang w:eastAsia="es-ES"/>
        </w:rPr>
        <w:t>.-</w:t>
      </w:r>
      <w:r w:rsidR="00F70659" w:rsidRPr="002578E6">
        <w:rPr>
          <w:rFonts w:eastAsia="Times New Roman" w:cstheme="minorHAnsi"/>
          <w:color w:val="000000"/>
          <w:sz w:val="24"/>
          <w:szCs w:val="24"/>
          <w:lang w:eastAsia="es-ES"/>
        </w:rPr>
        <w:t xml:space="preserve"> </w:t>
      </w:r>
      <w:r w:rsidR="00F17232" w:rsidRPr="002578E6">
        <w:rPr>
          <w:rFonts w:cstheme="minorHAnsi"/>
          <w:sz w:val="24"/>
          <w:szCs w:val="24"/>
        </w:rPr>
        <w:t xml:space="preserve"> </w:t>
      </w:r>
      <w:r w:rsidR="00F0704E" w:rsidRPr="002578E6">
        <w:rPr>
          <w:rFonts w:cstheme="minorHAnsi"/>
          <w:sz w:val="24"/>
          <w:szCs w:val="24"/>
        </w:rPr>
        <w:t>P</w:t>
      </w:r>
      <w:r w:rsidR="00D07BB6" w:rsidRPr="002578E6">
        <w:rPr>
          <w:rFonts w:cstheme="minorHAnsi"/>
          <w:sz w:val="24"/>
          <w:szCs w:val="24"/>
        </w:rPr>
        <w:t xml:space="preserve">oner a disposición </w:t>
      </w:r>
      <w:r w:rsidR="00D32A1B" w:rsidRPr="002578E6">
        <w:rPr>
          <w:rFonts w:cstheme="minorHAnsi"/>
          <w:sz w:val="24"/>
          <w:szCs w:val="24"/>
        </w:rPr>
        <w:t xml:space="preserve">de todos los buques incluidos en el ámbito de aplicación de la Orden APA/372/2020, de 24 de abril, </w:t>
      </w:r>
      <w:r w:rsidR="0097701E" w:rsidRPr="002578E6">
        <w:rPr>
          <w:rFonts w:eastAsia="Times New Roman" w:cstheme="minorHAnsi"/>
          <w:color w:val="000000"/>
          <w:sz w:val="24"/>
          <w:szCs w:val="24"/>
          <w:lang w:eastAsia="es-ES"/>
        </w:rPr>
        <w:t xml:space="preserve">el mecanismo de optimización </w:t>
      </w:r>
      <w:r w:rsidR="0097701E" w:rsidRPr="002578E6">
        <w:rPr>
          <w:rFonts w:cstheme="minorHAnsi"/>
          <w:sz w:val="24"/>
          <w:szCs w:val="24"/>
        </w:rPr>
        <w:t>de la población de patudo (</w:t>
      </w:r>
      <w:proofErr w:type="spellStart"/>
      <w:r w:rsidR="0097701E" w:rsidRPr="002578E6">
        <w:rPr>
          <w:rFonts w:cstheme="minorHAnsi"/>
          <w:i/>
          <w:iCs/>
          <w:sz w:val="24"/>
          <w:szCs w:val="24"/>
        </w:rPr>
        <w:t>Thunnus</w:t>
      </w:r>
      <w:proofErr w:type="spellEnd"/>
      <w:r w:rsidR="0097701E" w:rsidRPr="00DA686E">
        <w:rPr>
          <w:rFonts w:cstheme="minorHAnsi"/>
          <w:i/>
          <w:iCs/>
          <w:sz w:val="24"/>
          <w:szCs w:val="24"/>
        </w:rPr>
        <w:t xml:space="preserve"> </w:t>
      </w:r>
      <w:proofErr w:type="spellStart"/>
      <w:r w:rsidR="0097701E" w:rsidRPr="00DA686E">
        <w:rPr>
          <w:rFonts w:cstheme="minorHAnsi"/>
          <w:i/>
          <w:iCs/>
          <w:sz w:val="24"/>
          <w:szCs w:val="24"/>
        </w:rPr>
        <w:t>obesus</w:t>
      </w:r>
      <w:proofErr w:type="spellEnd"/>
      <w:r w:rsidR="0097701E">
        <w:rPr>
          <w:rFonts w:cstheme="minorHAnsi"/>
          <w:sz w:val="24"/>
          <w:szCs w:val="24"/>
        </w:rPr>
        <w:t>) de la zona regulada por la Comisión Internacional para la Conservación del Atún Atlántico (CICAA) para el año 202</w:t>
      </w:r>
      <w:r w:rsidR="005609C5">
        <w:rPr>
          <w:rFonts w:cstheme="minorHAnsi"/>
          <w:sz w:val="24"/>
          <w:szCs w:val="24"/>
        </w:rPr>
        <w:t>4</w:t>
      </w:r>
      <w:r w:rsidR="0097701E">
        <w:rPr>
          <w:rFonts w:cstheme="minorHAnsi"/>
          <w:sz w:val="24"/>
          <w:szCs w:val="24"/>
        </w:rPr>
        <w:t xml:space="preserve">, </w:t>
      </w:r>
      <w:r w:rsidR="007B3106">
        <w:rPr>
          <w:rFonts w:eastAsia="Times New Roman" w:cstheme="minorHAnsi"/>
          <w:color w:val="000000"/>
          <w:sz w:val="24"/>
          <w:szCs w:val="24"/>
          <w:lang w:eastAsia="es-ES"/>
        </w:rPr>
        <w:t>d</w:t>
      </w:r>
      <w:r w:rsidR="00F67A0E">
        <w:rPr>
          <w:rFonts w:eastAsia="Times New Roman" w:cstheme="minorHAnsi"/>
          <w:color w:val="000000"/>
          <w:sz w:val="24"/>
          <w:szCs w:val="24"/>
          <w:lang w:eastAsia="es-ES"/>
        </w:rPr>
        <w:t xml:space="preserve">e </w:t>
      </w:r>
      <w:r w:rsidR="005C4DD3">
        <w:rPr>
          <w:rFonts w:eastAsia="Times New Roman" w:cstheme="minorHAnsi"/>
          <w:color w:val="000000"/>
          <w:sz w:val="24"/>
          <w:szCs w:val="24"/>
          <w:lang w:eastAsia="es-ES"/>
        </w:rPr>
        <w:t>conformidad</w:t>
      </w:r>
      <w:r w:rsidR="00F67A0E">
        <w:rPr>
          <w:rFonts w:eastAsia="Times New Roman" w:cstheme="minorHAnsi"/>
          <w:color w:val="000000"/>
          <w:sz w:val="24"/>
          <w:szCs w:val="24"/>
          <w:lang w:eastAsia="es-ES"/>
        </w:rPr>
        <w:t xml:space="preserve"> con lo dispuesto en el artículo 7 bis</w:t>
      </w:r>
      <w:r w:rsidR="005C4DD3">
        <w:rPr>
          <w:rFonts w:cstheme="minorHAnsi"/>
          <w:sz w:val="24"/>
          <w:szCs w:val="24"/>
        </w:rPr>
        <w:t xml:space="preserve"> </w:t>
      </w:r>
      <w:r w:rsidR="001069B4">
        <w:rPr>
          <w:rFonts w:cstheme="minorHAnsi"/>
          <w:sz w:val="24"/>
          <w:szCs w:val="24"/>
        </w:rPr>
        <w:t>de dicha Orden, una vez hayan agotado las posibilidades de pesca que les hayan sido inicialmente asignadas y hasta el consumo total de la cuota común de este mecanismo; todo ello de</w:t>
      </w:r>
      <w:r w:rsidR="005C4DD3">
        <w:rPr>
          <w:rFonts w:cstheme="minorHAnsi"/>
          <w:sz w:val="24"/>
          <w:szCs w:val="24"/>
        </w:rPr>
        <w:t xml:space="preserve"> acuerdo con los siguientes requisitos:</w:t>
      </w:r>
    </w:p>
    <w:p w14:paraId="2BAF5206" w14:textId="1F7814A9" w:rsidR="00F0704E" w:rsidRPr="005609C5" w:rsidRDefault="00F0704E" w:rsidP="005609C5">
      <w:pPr>
        <w:pStyle w:val="Prrafodelista"/>
        <w:numPr>
          <w:ilvl w:val="0"/>
          <w:numId w:val="9"/>
        </w:numPr>
        <w:shd w:val="clear" w:color="auto" w:fill="FFFFFF"/>
        <w:spacing w:before="100" w:beforeAutospacing="1" w:line="276" w:lineRule="auto"/>
        <w:jc w:val="both"/>
        <w:rPr>
          <w:rFonts w:eastAsia="Times New Roman" w:cstheme="minorHAnsi"/>
          <w:color w:val="000000"/>
          <w:sz w:val="24"/>
          <w:szCs w:val="24"/>
          <w:lang w:eastAsia="es-ES"/>
        </w:rPr>
      </w:pPr>
      <w:r w:rsidRPr="005609C5">
        <w:rPr>
          <w:rFonts w:eastAsia="Times New Roman" w:cstheme="minorHAnsi"/>
          <w:color w:val="000000"/>
          <w:sz w:val="24"/>
          <w:szCs w:val="24"/>
          <w:lang w:eastAsia="es-ES"/>
        </w:rPr>
        <w:t xml:space="preserve">La cuota sobrante común del mecanismo de optimización podrá ser utilizada a partir del </w:t>
      </w:r>
      <w:r w:rsidR="005609C5" w:rsidRPr="005609C5">
        <w:rPr>
          <w:rFonts w:eastAsia="Times New Roman" w:cstheme="minorHAnsi"/>
          <w:color w:val="000000"/>
          <w:sz w:val="24"/>
          <w:szCs w:val="24"/>
          <w:lang w:eastAsia="es-ES"/>
        </w:rPr>
        <w:t>2 de septiembre</w:t>
      </w:r>
      <w:r w:rsidRPr="005609C5">
        <w:rPr>
          <w:rFonts w:eastAsia="Times New Roman" w:cstheme="minorHAnsi"/>
          <w:color w:val="000000"/>
          <w:sz w:val="24"/>
          <w:szCs w:val="24"/>
          <w:lang w:eastAsia="es-ES"/>
        </w:rPr>
        <w:t xml:space="preserve"> de 202</w:t>
      </w:r>
      <w:r w:rsidR="005609C5" w:rsidRPr="005609C5">
        <w:rPr>
          <w:rFonts w:eastAsia="Times New Roman" w:cstheme="minorHAnsi"/>
          <w:color w:val="000000"/>
          <w:sz w:val="24"/>
          <w:szCs w:val="24"/>
          <w:lang w:eastAsia="es-ES"/>
        </w:rPr>
        <w:t>4</w:t>
      </w:r>
      <w:r w:rsidR="0097701E" w:rsidRPr="005609C5">
        <w:rPr>
          <w:rFonts w:eastAsia="Times New Roman" w:cstheme="minorHAnsi"/>
          <w:color w:val="000000"/>
          <w:sz w:val="24"/>
          <w:szCs w:val="24"/>
          <w:lang w:eastAsia="es-ES"/>
        </w:rPr>
        <w:t>, conforme a lo previsto en</w:t>
      </w:r>
      <w:r w:rsidR="00E83442">
        <w:rPr>
          <w:rFonts w:eastAsia="Times New Roman" w:cstheme="minorHAnsi"/>
          <w:color w:val="000000"/>
          <w:sz w:val="24"/>
          <w:szCs w:val="24"/>
          <w:lang w:eastAsia="es-ES"/>
        </w:rPr>
        <w:t xml:space="preserve"> la </w:t>
      </w:r>
      <w:r w:rsidR="005609C5" w:rsidRPr="005609C5">
        <w:rPr>
          <w:rFonts w:eastAsia="Times New Roman" w:cstheme="minorHAnsi"/>
          <w:color w:val="000000"/>
          <w:sz w:val="24"/>
          <w:szCs w:val="24"/>
          <w:lang w:eastAsia="es-ES"/>
        </w:rPr>
        <w:t>Orden APA/372/2020, de 24 de abril, por la que se regula la pesquería de patudo (</w:t>
      </w:r>
      <w:proofErr w:type="spellStart"/>
      <w:r w:rsidR="005609C5" w:rsidRPr="005609C5">
        <w:rPr>
          <w:rFonts w:eastAsia="Times New Roman" w:cstheme="minorHAnsi"/>
          <w:color w:val="000000"/>
          <w:sz w:val="24"/>
          <w:szCs w:val="24"/>
          <w:lang w:eastAsia="es-ES"/>
        </w:rPr>
        <w:t>Thunnus</w:t>
      </w:r>
      <w:proofErr w:type="spellEnd"/>
      <w:r w:rsidR="005609C5" w:rsidRPr="005609C5">
        <w:rPr>
          <w:rFonts w:eastAsia="Times New Roman" w:cstheme="minorHAnsi"/>
          <w:color w:val="000000"/>
          <w:sz w:val="24"/>
          <w:szCs w:val="24"/>
          <w:lang w:eastAsia="es-ES"/>
        </w:rPr>
        <w:t xml:space="preserve"> </w:t>
      </w:r>
      <w:proofErr w:type="spellStart"/>
      <w:r w:rsidR="005609C5" w:rsidRPr="005609C5">
        <w:rPr>
          <w:rFonts w:eastAsia="Times New Roman" w:cstheme="minorHAnsi"/>
          <w:color w:val="000000"/>
          <w:sz w:val="24"/>
          <w:szCs w:val="24"/>
          <w:lang w:eastAsia="es-ES"/>
        </w:rPr>
        <w:t>obesus</w:t>
      </w:r>
      <w:proofErr w:type="spellEnd"/>
      <w:r w:rsidR="005609C5" w:rsidRPr="005609C5">
        <w:rPr>
          <w:rFonts w:eastAsia="Times New Roman" w:cstheme="minorHAnsi"/>
          <w:color w:val="000000"/>
          <w:sz w:val="24"/>
          <w:szCs w:val="24"/>
          <w:lang w:eastAsia="es-ES"/>
        </w:rPr>
        <w:t>) en el Océano Atlántico y se</w:t>
      </w:r>
      <w:r w:rsidR="005609C5">
        <w:rPr>
          <w:rFonts w:eastAsia="Times New Roman" w:cstheme="minorHAnsi"/>
          <w:color w:val="000000"/>
          <w:sz w:val="24"/>
          <w:szCs w:val="24"/>
          <w:lang w:eastAsia="es-ES"/>
        </w:rPr>
        <w:t xml:space="preserve"> </w:t>
      </w:r>
      <w:r w:rsidR="005609C5" w:rsidRPr="005609C5">
        <w:rPr>
          <w:rFonts w:eastAsia="Times New Roman" w:cstheme="minorHAnsi"/>
          <w:color w:val="000000"/>
          <w:sz w:val="24"/>
          <w:szCs w:val="24"/>
          <w:lang w:eastAsia="es-ES"/>
        </w:rPr>
        <w:t>establece un censo de buques autorizados a la pesca de patudo.</w:t>
      </w:r>
    </w:p>
    <w:p w14:paraId="310901FC" w14:textId="77777777" w:rsidR="00F0704E" w:rsidRDefault="00F0704E" w:rsidP="002578E6">
      <w:pPr>
        <w:pStyle w:val="Prrafodelista"/>
        <w:shd w:val="clear" w:color="auto" w:fill="FFFFFF"/>
        <w:spacing w:before="100" w:beforeAutospacing="1" w:line="276" w:lineRule="auto"/>
        <w:jc w:val="both"/>
        <w:rPr>
          <w:rFonts w:eastAsia="Times New Roman" w:cstheme="minorHAnsi"/>
          <w:color w:val="000000"/>
          <w:sz w:val="24"/>
          <w:szCs w:val="24"/>
          <w:lang w:eastAsia="es-ES"/>
        </w:rPr>
      </w:pPr>
    </w:p>
    <w:p w14:paraId="1680251E" w14:textId="671879E4" w:rsidR="00F47430" w:rsidRDefault="00F47430" w:rsidP="00F47430">
      <w:pPr>
        <w:pStyle w:val="Prrafodelista"/>
        <w:numPr>
          <w:ilvl w:val="0"/>
          <w:numId w:val="9"/>
        </w:numPr>
        <w:shd w:val="clear" w:color="auto" w:fill="FFFFFF"/>
        <w:spacing w:before="100" w:beforeAutospacing="1" w:line="276" w:lineRule="auto"/>
        <w:jc w:val="both"/>
        <w:rPr>
          <w:rFonts w:eastAsia="Times New Roman" w:cstheme="minorHAnsi"/>
          <w:color w:val="000000"/>
          <w:sz w:val="24"/>
          <w:szCs w:val="24"/>
          <w:lang w:eastAsia="es-ES"/>
        </w:rPr>
      </w:pPr>
      <w:r>
        <w:rPr>
          <w:rFonts w:eastAsia="Times New Roman" w:cstheme="minorHAnsi"/>
          <w:color w:val="000000"/>
          <w:sz w:val="24"/>
          <w:szCs w:val="24"/>
          <w:lang w:eastAsia="es-ES"/>
        </w:rPr>
        <w:t>Los buques o grupos de buques s</w:t>
      </w:r>
      <w:r w:rsidRPr="007C54E1">
        <w:rPr>
          <w:rFonts w:eastAsia="Times New Roman" w:cstheme="minorHAnsi"/>
          <w:color w:val="000000"/>
          <w:sz w:val="24"/>
          <w:szCs w:val="24"/>
          <w:lang w:eastAsia="es-ES"/>
        </w:rPr>
        <w:t>ol</w:t>
      </w:r>
      <w:r>
        <w:rPr>
          <w:rFonts w:eastAsia="Times New Roman" w:cstheme="minorHAnsi"/>
          <w:color w:val="000000"/>
          <w:sz w:val="24"/>
          <w:szCs w:val="24"/>
          <w:lang w:eastAsia="es-ES"/>
        </w:rPr>
        <w:t>o</w:t>
      </w:r>
      <w:r w:rsidRPr="007C54E1">
        <w:rPr>
          <w:rFonts w:eastAsia="Times New Roman" w:cstheme="minorHAnsi"/>
          <w:color w:val="000000"/>
          <w:sz w:val="24"/>
          <w:szCs w:val="24"/>
          <w:lang w:eastAsia="es-ES"/>
        </w:rPr>
        <w:t xml:space="preserve"> podrán acceder a pescar contra </w:t>
      </w:r>
      <w:r>
        <w:rPr>
          <w:rFonts w:eastAsia="Times New Roman" w:cstheme="minorHAnsi"/>
          <w:color w:val="000000"/>
          <w:sz w:val="24"/>
          <w:szCs w:val="24"/>
          <w:lang w:eastAsia="es-ES"/>
        </w:rPr>
        <w:t>la cuota común del</w:t>
      </w:r>
      <w:r w:rsidRPr="007C54E1">
        <w:rPr>
          <w:rFonts w:eastAsia="Times New Roman" w:cstheme="minorHAnsi"/>
          <w:color w:val="000000"/>
          <w:sz w:val="24"/>
          <w:szCs w:val="24"/>
          <w:lang w:eastAsia="es-ES"/>
        </w:rPr>
        <w:t xml:space="preserve"> </w:t>
      </w:r>
      <w:r>
        <w:rPr>
          <w:rFonts w:eastAsia="Times New Roman" w:cstheme="minorHAnsi"/>
          <w:color w:val="000000"/>
          <w:sz w:val="24"/>
          <w:szCs w:val="24"/>
          <w:lang w:eastAsia="es-ES"/>
        </w:rPr>
        <w:t>mecanismo de optimización</w:t>
      </w:r>
      <w:r w:rsidRPr="007C54E1">
        <w:rPr>
          <w:rFonts w:eastAsia="Times New Roman" w:cstheme="minorHAnsi"/>
          <w:color w:val="000000"/>
          <w:sz w:val="24"/>
          <w:szCs w:val="24"/>
          <w:lang w:eastAsia="es-ES"/>
        </w:rPr>
        <w:t xml:space="preserve">, una vez su cuota individual o conjunta se haya agotado (consumo del 100 %). </w:t>
      </w:r>
    </w:p>
    <w:p w14:paraId="5FB1602A" w14:textId="77777777" w:rsidR="00F47430" w:rsidRDefault="00F47430" w:rsidP="00F47430">
      <w:pPr>
        <w:pStyle w:val="Prrafodelista"/>
        <w:shd w:val="clear" w:color="auto" w:fill="FFFFFF"/>
        <w:spacing w:before="100" w:beforeAutospacing="1" w:line="276" w:lineRule="auto"/>
        <w:jc w:val="both"/>
        <w:rPr>
          <w:rFonts w:eastAsia="Times New Roman" w:cstheme="minorHAnsi"/>
          <w:color w:val="000000"/>
          <w:sz w:val="24"/>
          <w:szCs w:val="24"/>
          <w:lang w:eastAsia="es-ES"/>
        </w:rPr>
      </w:pPr>
    </w:p>
    <w:p w14:paraId="268E1855" w14:textId="6D5815C2" w:rsidR="002578E6" w:rsidRDefault="00BE3A6D" w:rsidP="002578E6">
      <w:pPr>
        <w:pStyle w:val="Prrafodelista"/>
        <w:shd w:val="clear" w:color="auto" w:fill="FFFFFF"/>
        <w:spacing w:before="100" w:beforeAutospacing="1" w:line="276" w:lineRule="auto"/>
        <w:jc w:val="both"/>
        <w:rPr>
          <w:rFonts w:eastAsia="Times New Roman" w:cstheme="minorHAnsi"/>
          <w:color w:val="000000"/>
          <w:sz w:val="24"/>
          <w:szCs w:val="24"/>
          <w:lang w:eastAsia="es-ES"/>
        </w:rPr>
      </w:pPr>
      <w:r w:rsidRPr="00BE3A6D">
        <w:rPr>
          <w:rFonts w:eastAsia="Times New Roman" w:cstheme="minorHAnsi"/>
          <w:color w:val="000000"/>
          <w:sz w:val="24"/>
          <w:szCs w:val="24"/>
          <w:lang w:eastAsia="es-ES"/>
        </w:rPr>
        <w:t xml:space="preserve">Aquellos buques o grupos de buques que, </w:t>
      </w:r>
      <w:r w:rsidR="00F122AD">
        <w:rPr>
          <w:rFonts w:eastAsia="Times New Roman" w:cstheme="minorHAnsi"/>
          <w:color w:val="000000"/>
          <w:sz w:val="24"/>
          <w:szCs w:val="24"/>
          <w:lang w:eastAsia="es-ES"/>
        </w:rPr>
        <w:t xml:space="preserve">a fecha </w:t>
      </w:r>
      <w:r w:rsidR="005609C5">
        <w:rPr>
          <w:rFonts w:eastAsia="Times New Roman" w:cstheme="minorHAnsi"/>
          <w:color w:val="000000"/>
          <w:sz w:val="24"/>
          <w:szCs w:val="24"/>
          <w:lang w:eastAsia="es-ES"/>
        </w:rPr>
        <w:t>2 de septiembre</w:t>
      </w:r>
      <w:r w:rsidRPr="00BE3A6D">
        <w:rPr>
          <w:rFonts w:eastAsia="Times New Roman" w:cstheme="minorHAnsi"/>
          <w:color w:val="000000"/>
          <w:sz w:val="24"/>
          <w:szCs w:val="24"/>
          <w:lang w:eastAsia="es-ES"/>
        </w:rPr>
        <w:t xml:space="preserve">, aún dispongan de cuota propia de </w:t>
      </w:r>
      <w:r w:rsidR="00784153">
        <w:rPr>
          <w:rFonts w:eastAsia="Times New Roman" w:cstheme="minorHAnsi"/>
          <w:color w:val="000000"/>
          <w:sz w:val="24"/>
          <w:szCs w:val="24"/>
          <w:lang w:eastAsia="es-ES"/>
        </w:rPr>
        <w:t xml:space="preserve">stock </w:t>
      </w:r>
      <w:r w:rsidRPr="00E84822">
        <w:rPr>
          <w:rFonts w:eastAsia="Times New Roman" w:cstheme="minorHAnsi"/>
          <w:color w:val="000000"/>
          <w:sz w:val="24"/>
          <w:szCs w:val="24"/>
          <w:lang w:eastAsia="es-ES"/>
        </w:rPr>
        <w:t>BET/ATLANT</w:t>
      </w:r>
      <w:r w:rsidRPr="00BE3A6D">
        <w:rPr>
          <w:rFonts w:eastAsia="Times New Roman" w:cstheme="minorHAnsi"/>
          <w:color w:val="000000"/>
          <w:sz w:val="24"/>
          <w:szCs w:val="24"/>
          <w:lang w:eastAsia="es-ES"/>
        </w:rPr>
        <w:t xml:space="preserve">, </w:t>
      </w:r>
      <w:r>
        <w:rPr>
          <w:rFonts w:eastAsia="Times New Roman" w:cstheme="minorHAnsi"/>
          <w:color w:val="000000"/>
          <w:sz w:val="24"/>
          <w:szCs w:val="24"/>
          <w:lang w:eastAsia="es-ES"/>
        </w:rPr>
        <w:t>deberán</w:t>
      </w:r>
      <w:r w:rsidRPr="00BE3A6D">
        <w:rPr>
          <w:rFonts w:eastAsia="Times New Roman" w:cstheme="minorHAnsi"/>
          <w:color w:val="000000"/>
          <w:sz w:val="24"/>
          <w:szCs w:val="24"/>
          <w:lang w:eastAsia="es-ES"/>
        </w:rPr>
        <w:t xml:space="preserve"> seguir pescando contra su propia cuota no agotada.</w:t>
      </w:r>
    </w:p>
    <w:p w14:paraId="0C45A5BE" w14:textId="04795DDC" w:rsidR="00BE3A6D" w:rsidRPr="002578E6" w:rsidRDefault="00BE3A6D" w:rsidP="002578E6">
      <w:pPr>
        <w:pStyle w:val="Prrafodelista"/>
        <w:shd w:val="clear" w:color="auto" w:fill="FFFFFF"/>
        <w:spacing w:before="100" w:beforeAutospacing="1" w:line="276" w:lineRule="auto"/>
        <w:jc w:val="both"/>
        <w:rPr>
          <w:lang w:eastAsia="es-ES"/>
        </w:rPr>
      </w:pPr>
    </w:p>
    <w:p w14:paraId="1C80CA14" w14:textId="42E4BF8A" w:rsidR="00EA61BA" w:rsidRPr="00AA4556" w:rsidRDefault="005609C5" w:rsidP="005609C5">
      <w:pPr>
        <w:pStyle w:val="Prrafodelista"/>
        <w:numPr>
          <w:ilvl w:val="0"/>
          <w:numId w:val="9"/>
        </w:numPr>
        <w:shd w:val="clear" w:color="auto" w:fill="FFFFFF"/>
        <w:spacing w:before="100" w:beforeAutospacing="1" w:line="276" w:lineRule="auto"/>
        <w:jc w:val="both"/>
        <w:rPr>
          <w:rFonts w:eastAsia="Times New Roman" w:cstheme="minorHAnsi"/>
          <w:color w:val="000000"/>
          <w:sz w:val="24"/>
          <w:szCs w:val="24"/>
          <w:lang w:eastAsia="es-ES"/>
        </w:rPr>
      </w:pPr>
      <w:bookmarkStart w:id="1" w:name="_Hlk146092957"/>
      <w:r>
        <w:rPr>
          <w:rFonts w:eastAsia="Times New Roman" w:cstheme="minorHAnsi"/>
          <w:color w:val="000000"/>
          <w:sz w:val="24"/>
          <w:szCs w:val="24"/>
          <w:lang w:eastAsia="es-ES"/>
        </w:rPr>
        <w:t>L</w:t>
      </w:r>
      <w:r w:rsidRPr="005609C5">
        <w:rPr>
          <w:rFonts w:eastAsia="Times New Roman" w:cstheme="minorHAnsi"/>
          <w:color w:val="000000"/>
          <w:sz w:val="24"/>
          <w:szCs w:val="24"/>
          <w:lang w:eastAsia="es-ES"/>
        </w:rPr>
        <w:t>os buques que presenten a fecha 20 de agosto un rebasamiento en el consumo</w:t>
      </w:r>
      <w:r>
        <w:rPr>
          <w:rFonts w:eastAsia="Times New Roman" w:cstheme="minorHAnsi"/>
          <w:color w:val="000000"/>
          <w:sz w:val="24"/>
          <w:szCs w:val="24"/>
          <w:lang w:eastAsia="es-ES"/>
        </w:rPr>
        <w:t xml:space="preserve"> </w:t>
      </w:r>
      <w:r w:rsidRPr="00AA4556">
        <w:rPr>
          <w:rFonts w:eastAsia="Times New Roman" w:cstheme="minorHAnsi"/>
          <w:color w:val="000000"/>
          <w:sz w:val="24"/>
          <w:szCs w:val="24"/>
          <w:lang w:eastAsia="es-ES"/>
        </w:rPr>
        <w:t xml:space="preserve">superior al 10 % de su cuota adaptada </w:t>
      </w:r>
      <w:r>
        <w:rPr>
          <w:rFonts w:eastAsia="Times New Roman" w:cstheme="minorHAnsi"/>
          <w:color w:val="000000"/>
          <w:sz w:val="24"/>
          <w:szCs w:val="24"/>
          <w:lang w:eastAsia="es-ES"/>
        </w:rPr>
        <w:t>no podrán beneficiarse del mecanismo de optimización</w:t>
      </w:r>
      <w:r w:rsidR="002008E2" w:rsidRPr="00AA4556">
        <w:rPr>
          <w:rFonts w:eastAsia="Times New Roman" w:cstheme="minorHAnsi"/>
          <w:color w:val="000000"/>
          <w:sz w:val="24"/>
          <w:szCs w:val="24"/>
          <w:lang w:eastAsia="es-ES"/>
        </w:rPr>
        <w:t>.</w:t>
      </w:r>
    </w:p>
    <w:bookmarkEnd w:id="1"/>
    <w:p w14:paraId="2EDEE833" w14:textId="3B50466B" w:rsidR="002E5656" w:rsidRPr="002578E6" w:rsidRDefault="00965D61" w:rsidP="002578E6">
      <w:pPr>
        <w:shd w:val="clear" w:color="auto" w:fill="FFFFFF"/>
        <w:spacing w:before="100" w:beforeAutospacing="1" w:after="360" w:line="276" w:lineRule="auto"/>
        <w:jc w:val="both"/>
        <w:rPr>
          <w:rFonts w:eastAsia="Times New Roman" w:cstheme="minorHAnsi"/>
          <w:color w:val="000000"/>
          <w:sz w:val="24"/>
          <w:szCs w:val="24"/>
          <w:lang w:eastAsia="es-ES"/>
        </w:rPr>
      </w:pPr>
      <w:proofErr w:type="gramStart"/>
      <w:r>
        <w:rPr>
          <w:rFonts w:eastAsia="Times New Roman" w:cstheme="minorHAnsi"/>
          <w:b/>
          <w:bCs/>
          <w:color w:val="000000"/>
          <w:sz w:val="24"/>
          <w:szCs w:val="24"/>
          <w:lang w:eastAsia="es-ES"/>
        </w:rPr>
        <w:t>S</w:t>
      </w:r>
      <w:r w:rsidR="00327904" w:rsidRPr="002578E6">
        <w:rPr>
          <w:rFonts w:eastAsia="Times New Roman" w:cstheme="minorHAnsi"/>
          <w:b/>
          <w:bCs/>
          <w:color w:val="000000"/>
          <w:sz w:val="24"/>
          <w:szCs w:val="24"/>
          <w:lang w:eastAsia="es-ES"/>
        </w:rPr>
        <w:t>egundo.-</w:t>
      </w:r>
      <w:proofErr w:type="gramEnd"/>
      <w:r w:rsidR="000606B4" w:rsidRPr="002578E6">
        <w:rPr>
          <w:rFonts w:eastAsia="Times New Roman" w:cstheme="minorHAnsi"/>
          <w:b/>
          <w:bCs/>
          <w:color w:val="000000"/>
          <w:sz w:val="24"/>
          <w:szCs w:val="24"/>
          <w:lang w:eastAsia="es-ES"/>
        </w:rPr>
        <w:t xml:space="preserve"> </w:t>
      </w:r>
      <w:r w:rsidR="00067206">
        <w:rPr>
          <w:rFonts w:eastAsia="Times New Roman" w:cstheme="minorHAnsi"/>
          <w:color w:val="000000"/>
          <w:sz w:val="24"/>
          <w:szCs w:val="24"/>
          <w:lang w:eastAsia="es-ES"/>
        </w:rPr>
        <w:t xml:space="preserve">A partir del </w:t>
      </w:r>
      <w:r w:rsidR="002E5656" w:rsidRPr="002578E6">
        <w:rPr>
          <w:rFonts w:eastAsia="Times New Roman" w:cstheme="minorHAnsi"/>
          <w:color w:val="000000"/>
          <w:sz w:val="24"/>
          <w:szCs w:val="24"/>
          <w:lang w:eastAsia="es-ES"/>
        </w:rPr>
        <w:t xml:space="preserve">día </w:t>
      </w:r>
      <w:r w:rsidR="005609C5">
        <w:rPr>
          <w:rFonts w:eastAsia="Times New Roman" w:cstheme="minorHAnsi"/>
          <w:color w:val="000000"/>
          <w:sz w:val="24"/>
          <w:szCs w:val="24"/>
          <w:lang w:eastAsia="es-ES"/>
        </w:rPr>
        <w:t>2</w:t>
      </w:r>
      <w:r w:rsidR="002E5656" w:rsidRPr="002578E6">
        <w:rPr>
          <w:rFonts w:eastAsia="Times New Roman" w:cstheme="minorHAnsi"/>
          <w:color w:val="000000"/>
          <w:sz w:val="24"/>
          <w:szCs w:val="24"/>
          <w:lang w:eastAsia="es-ES"/>
        </w:rPr>
        <w:t xml:space="preserve"> de </w:t>
      </w:r>
      <w:r w:rsidR="005609C5">
        <w:rPr>
          <w:rFonts w:eastAsia="Times New Roman" w:cstheme="minorHAnsi"/>
          <w:color w:val="000000"/>
          <w:sz w:val="24"/>
          <w:szCs w:val="24"/>
          <w:lang w:eastAsia="es-ES"/>
        </w:rPr>
        <w:t>septiembre</w:t>
      </w:r>
      <w:r w:rsidR="005609C5" w:rsidRPr="002578E6">
        <w:rPr>
          <w:rFonts w:eastAsia="Times New Roman" w:cstheme="minorHAnsi"/>
          <w:color w:val="000000"/>
          <w:sz w:val="24"/>
          <w:szCs w:val="24"/>
          <w:lang w:eastAsia="es-ES"/>
        </w:rPr>
        <w:t xml:space="preserve"> </w:t>
      </w:r>
      <w:r w:rsidR="002E5656" w:rsidRPr="002578E6">
        <w:rPr>
          <w:rFonts w:eastAsia="Times New Roman" w:cstheme="minorHAnsi"/>
          <w:color w:val="000000"/>
          <w:sz w:val="24"/>
          <w:szCs w:val="24"/>
          <w:lang w:eastAsia="es-ES"/>
        </w:rPr>
        <w:t>de 202</w:t>
      </w:r>
      <w:r w:rsidR="005609C5">
        <w:rPr>
          <w:rFonts w:eastAsia="Times New Roman" w:cstheme="minorHAnsi"/>
          <w:color w:val="000000"/>
          <w:sz w:val="24"/>
          <w:szCs w:val="24"/>
          <w:lang w:eastAsia="es-ES"/>
        </w:rPr>
        <w:t>4</w:t>
      </w:r>
      <w:r w:rsidR="002E5656" w:rsidRPr="002578E6">
        <w:rPr>
          <w:rFonts w:eastAsia="Times New Roman" w:cstheme="minorHAnsi"/>
          <w:color w:val="000000"/>
          <w:sz w:val="24"/>
          <w:szCs w:val="24"/>
          <w:lang w:eastAsia="es-ES"/>
        </w:rPr>
        <w:t>, conforme a lo previsto en el apartado primero del RESUELVO, el acceso al mecanismo de optimización para hacer uso del sobrante de cuota</w:t>
      </w:r>
      <w:r w:rsidR="00DE59B4">
        <w:rPr>
          <w:rFonts w:eastAsia="Times New Roman" w:cstheme="minorHAnsi"/>
          <w:color w:val="000000"/>
          <w:sz w:val="24"/>
          <w:szCs w:val="24"/>
          <w:lang w:eastAsia="es-ES"/>
        </w:rPr>
        <w:t>,</w:t>
      </w:r>
      <w:r w:rsidR="002E5656" w:rsidRPr="002578E6">
        <w:rPr>
          <w:rFonts w:eastAsia="Times New Roman" w:cstheme="minorHAnsi"/>
          <w:color w:val="000000"/>
          <w:sz w:val="24"/>
          <w:szCs w:val="24"/>
          <w:lang w:eastAsia="es-ES"/>
        </w:rPr>
        <w:t xml:space="preserve"> no precisará de autorización de esta Secretaria. La Dirección </w:t>
      </w:r>
      <w:r w:rsidR="002E5656" w:rsidRPr="002578E6">
        <w:rPr>
          <w:rFonts w:eastAsia="Times New Roman" w:cstheme="minorHAnsi"/>
          <w:color w:val="000000"/>
          <w:sz w:val="24"/>
          <w:szCs w:val="24"/>
          <w:lang w:eastAsia="es-ES"/>
        </w:rPr>
        <w:lastRenderedPageBreak/>
        <w:t xml:space="preserve">General de Ordenación Pesquera y Acuicultura llevará el control de acceso a los sobrantes. </w:t>
      </w:r>
    </w:p>
    <w:p w14:paraId="3D45F0CB" w14:textId="024E5030" w:rsidR="00F47430" w:rsidRPr="00F47430" w:rsidRDefault="00327904" w:rsidP="00CF4EBC">
      <w:pPr>
        <w:shd w:val="clear" w:color="auto" w:fill="FFFFFF"/>
        <w:spacing w:before="180" w:after="360"/>
        <w:jc w:val="both"/>
        <w:rPr>
          <w:rFonts w:eastAsia="Times New Roman" w:cstheme="minorHAnsi"/>
          <w:b/>
          <w:bCs/>
          <w:color w:val="000000"/>
          <w:sz w:val="24"/>
          <w:szCs w:val="24"/>
          <w:lang w:eastAsia="es-ES"/>
        </w:rPr>
      </w:pPr>
      <w:proofErr w:type="gramStart"/>
      <w:r>
        <w:rPr>
          <w:rFonts w:eastAsia="Times New Roman" w:cstheme="minorHAnsi"/>
          <w:b/>
          <w:bCs/>
          <w:color w:val="000000"/>
          <w:sz w:val="24"/>
          <w:szCs w:val="24"/>
          <w:lang w:eastAsia="es-ES"/>
        </w:rPr>
        <w:t>Tercero</w:t>
      </w:r>
      <w:r w:rsidRPr="00F70659">
        <w:rPr>
          <w:rFonts w:eastAsia="Times New Roman" w:cstheme="minorHAnsi"/>
          <w:b/>
          <w:bCs/>
          <w:color w:val="000000"/>
          <w:sz w:val="24"/>
          <w:szCs w:val="24"/>
          <w:lang w:eastAsia="es-ES"/>
        </w:rPr>
        <w:t>.-</w:t>
      </w:r>
      <w:proofErr w:type="gramEnd"/>
      <w:r>
        <w:rPr>
          <w:rFonts w:eastAsia="Times New Roman" w:cstheme="minorHAnsi"/>
          <w:b/>
          <w:bCs/>
          <w:color w:val="000000"/>
          <w:sz w:val="24"/>
          <w:szCs w:val="24"/>
          <w:lang w:eastAsia="es-ES"/>
        </w:rPr>
        <w:t xml:space="preserve"> </w:t>
      </w:r>
      <w:r w:rsidRPr="00327904">
        <w:rPr>
          <w:rFonts w:eastAsia="Times New Roman" w:cstheme="minorHAnsi"/>
          <w:color w:val="000000"/>
          <w:sz w:val="24"/>
          <w:szCs w:val="24"/>
          <w:lang w:eastAsia="es-ES"/>
        </w:rPr>
        <w:t xml:space="preserve">Esta resolución surte efectos desde el día </w:t>
      </w:r>
      <w:r w:rsidR="005609C5">
        <w:rPr>
          <w:rFonts w:eastAsia="Times New Roman" w:cstheme="minorHAnsi"/>
          <w:color w:val="000000"/>
          <w:sz w:val="24"/>
          <w:szCs w:val="24"/>
          <w:lang w:eastAsia="es-ES"/>
        </w:rPr>
        <w:t>2</w:t>
      </w:r>
      <w:r w:rsidR="00A61153">
        <w:rPr>
          <w:rFonts w:eastAsia="Times New Roman" w:cstheme="minorHAnsi"/>
          <w:color w:val="000000"/>
          <w:sz w:val="24"/>
          <w:szCs w:val="24"/>
          <w:lang w:eastAsia="es-ES"/>
        </w:rPr>
        <w:t xml:space="preserve"> de </w:t>
      </w:r>
      <w:r w:rsidR="005609C5">
        <w:rPr>
          <w:rFonts w:eastAsia="Times New Roman" w:cstheme="minorHAnsi"/>
          <w:color w:val="000000"/>
          <w:sz w:val="24"/>
          <w:szCs w:val="24"/>
          <w:lang w:eastAsia="es-ES"/>
        </w:rPr>
        <w:t>septiembre</w:t>
      </w:r>
      <w:r w:rsidRPr="00327904">
        <w:rPr>
          <w:rFonts w:eastAsia="Times New Roman" w:cstheme="minorHAnsi"/>
          <w:color w:val="000000"/>
          <w:sz w:val="24"/>
          <w:szCs w:val="24"/>
          <w:lang w:eastAsia="es-ES"/>
        </w:rPr>
        <w:t>.</w:t>
      </w:r>
    </w:p>
    <w:p w14:paraId="354C630E" w14:textId="39B7B9F8" w:rsidR="00276EA5" w:rsidRPr="00FF0445" w:rsidRDefault="00327904" w:rsidP="00C15552">
      <w:pPr>
        <w:shd w:val="clear" w:color="auto" w:fill="FFFFFF"/>
        <w:spacing w:before="180" w:after="180"/>
        <w:jc w:val="both"/>
        <w:rPr>
          <w:rFonts w:eastAsia="Times New Roman" w:cstheme="minorHAnsi"/>
          <w:color w:val="000000"/>
          <w:sz w:val="24"/>
          <w:szCs w:val="24"/>
          <w:lang w:eastAsia="es-ES"/>
        </w:rPr>
      </w:pPr>
      <w:proofErr w:type="gramStart"/>
      <w:r>
        <w:rPr>
          <w:rFonts w:eastAsia="Times New Roman" w:cstheme="minorHAnsi"/>
          <w:b/>
          <w:bCs/>
          <w:color w:val="000000"/>
          <w:sz w:val="24"/>
          <w:szCs w:val="24"/>
          <w:lang w:eastAsia="es-ES"/>
        </w:rPr>
        <w:t>Cuarto</w:t>
      </w:r>
      <w:r w:rsidRPr="00F70659">
        <w:rPr>
          <w:rFonts w:eastAsia="Times New Roman" w:cstheme="minorHAnsi"/>
          <w:b/>
          <w:bCs/>
          <w:color w:val="000000"/>
          <w:sz w:val="24"/>
          <w:szCs w:val="24"/>
          <w:lang w:eastAsia="es-ES"/>
        </w:rPr>
        <w:t>.-</w:t>
      </w:r>
      <w:proofErr w:type="gramEnd"/>
      <w:r>
        <w:rPr>
          <w:rFonts w:eastAsia="Times New Roman" w:cstheme="minorHAnsi"/>
          <w:color w:val="000000"/>
          <w:sz w:val="24"/>
          <w:szCs w:val="24"/>
          <w:lang w:eastAsia="es-ES"/>
        </w:rPr>
        <w:t xml:space="preserve"> </w:t>
      </w:r>
      <w:r w:rsidR="00C15552" w:rsidRPr="00C15552">
        <w:rPr>
          <w:rFonts w:eastAsia="Times New Roman" w:cstheme="minorHAnsi"/>
          <w:color w:val="000000"/>
          <w:sz w:val="24"/>
          <w:szCs w:val="24"/>
          <w:lang w:eastAsia="es-ES"/>
        </w:rPr>
        <w:t xml:space="preserve">La presente resolución no pone fin a la vía administrativa, siendo recurrible en alzada ante </w:t>
      </w:r>
      <w:r w:rsidR="00DA686E">
        <w:rPr>
          <w:rFonts w:eastAsia="Times New Roman" w:cstheme="minorHAnsi"/>
          <w:color w:val="000000"/>
          <w:sz w:val="24"/>
          <w:szCs w:val="24"/>
          <w:lang w:eastAsia="es-ES"/>
        </w:rPr>
        <w:t>el Ministro de Agricultura, Pesca y Alimentación</w:t>
      </w:r>
      <w:r w:rsidR="00C15552" w:rsidRPr="00C15552">
        <w:rPr>
          <w:rFonts w:eastAsia="Times New Roman" w:cstheme="minorHAnsi"/>
          <w:color w:val="000000"/>
          <w:sz w:val="24"/>
          <w:szCs w:val="24"/>
          <w:lang w:eastAsia="es-ES"/>
        </w:rPr>
        <w:t xml:space="preserve"> en el plazo</w:t>
      </w:r>
      <w:r w:rsidR="00DA686E">
        <w:rPr>
          <w:rFonts w:eastAsia="Times New Roman" w:cstheme="minorHAnsi"/>
          <w:color w:val="000000"/>
          <w:sz w:val="24"/>
          <w:szCs w:val="24"/>
          <w:lang w:eastAsia="es-ES"/>
        </w:rPr>
        <w:t xml:space="preserve"> máximo</w:t>
      </w:r>
      <w:r w:rsidR="00C15552" w:rsidRPr="00C15552">
        <w:rPr>
          <w:rFonts w:eastAsia="Times New Roman" w:cstheme="minorHAnsi"/>
          <w:color w:val="000000"/>
          <w:sz w:val="24"/>
          <w:szCs w:val="24"/>
          <w:lang w:eastAsia="es-ES"/>
        </w:rPr>
        <w:t xml:space="preserve"> de un mes, </w:t>
      </w:r>
      <w:r w:rsidR="00DA686E">
        <w:rPr>
          <w:rFonts w:eastAsia="Times New Roman" w:cstheme="minorHAnsi"/>
          <w:color w:val="000000"/>
          <w:sz w:val="24"/>
          <w:szCs w:val="24"/>
          <w:lang w:eastAsia="es-ES"/>
        </w:rPr>
        <w:t xml:space="preserve">contado a partir del día siguiente al de su publicación, </w:t>
      </w:r>
      <w:r w:rsidR="00C15552" w:rsidRPr="00C15552">
        <w:rPr>
          <w:rFonts w:eastAsia="Times New Roman" w:cstheme="minorHAnsi"/>
          <w:color w:val="000000"/>
          <w:sz w:val="24"/>
          <w:szCs w:val="24"/>
          <w:lang w:eastAsia="es-ES"/>
        </w:rPr>
        <w:t>de</w:t>
      </w:r>
      <w:r w:rsidR="00C15552">
        <w:rPr>
          <w:rFonts w:eastAsia="Times New Roman" w:cstheme="minorHAnsi"/>
          <w:color w:val="000000"/>
          <w:sz w:val="24"/>
          <w:szCs w:val="24"/>
          <w:lang w:eastAsia="es-ES"/>
        </w:rPr>
        <w:t xml:space="preserve"> </w:t>
      </w:r>
      <w:r w:rsidR="00C15552" w:rsidRPr="00C15552">
        <w:rPr>
          <w:rFonts w:eastAsia="Times New Roman" w:cstheme="minorHAnsi"/>
          <w:color w:val="000000"/>
          <w:sz w:val="24"/>
          <w:szCs w:val="24"/>
          <w:lang w:eastAsia="es-ES"/>
        </w:rPr>
        <w:t>conformidad con lo dispuesto en los artículos 121 y 122 de la Ley 39/2015, de 1 de octubre, del</w:t>
      </w:r>
      <w:r w:rsidR="00C15552">
        <w:rPr>
          <w:rFonts w:eastAsia="Times New Roman" w:cstheme="minorHAnsi"/>
          <w:color w:val="000000"/>
          <w:sz w:val="24"/>
          <w:szCs w:val="24"/>
          <w:lang w:eastAsia="es-ES"/>
        </w:rPr>
        <w:t xml:space="preserve"> </w:t>
      </w:r>
      <w:r w:rsidR="00CE45FF">
        <w:rPr>
          <w:rFonts w:eastAsia="Times New Roman" w:cstheme="minorHAnsi"/>
          <w:color w:val="000000"/>
          <w:sz w:val="24"/>
          <w:szCs w:val="24"/>
          <w:lang w:eastAsia="es-ES"/>
        </w:rPr>
        <w:t>P</w:t>
      </w:r>
      <w:r w:rsidR="00C15552" w:rsidRPr="00C15552">
        <w:rPr>
          <w:rFonts w:eastAsia="Times New Roman" w:cstheme="minorHAnsi"/>
          <w:color w:val="000000"/>
          <w:sz w:val="24"/>
          <w:szCs w:val="24"/>
          <w:lang w:eastAsia="es-ES"/>
        </w:rPr>
        <w:t xml:space="preserve">rocedimiento </w:t>
      </w:r>
      <w:r w:rsidR="00CE45FF">
        <w:rPr>
          <w:rFonts w:eastAsia="Times New Roman" w:cstheme="minorHAnsi"/>
          <w:color w:val="000000"/>
          <w:sz w:val="24"/>
          <w:szCs w:val="24"/>
          <w:lang w:eastAsia="es-ES"/>
        </w:rPr>
        <w:t>A</w:t>
      </w:r>
      <w:r w:rsidR="00C15552" w:rsidRPr="00C15552">
        <w:rPr>
          <w:rFonts w:eastAsia="Times New Roman" w:cstheme="minorHAnsi"/>
          <w:color w:val="000000"/>
          <w:sz w:val="24"/>
          <w:szCs w:val="24"/>
          <w:lang w:eastAsia="es-ES"/>
        </w:rPr>
        <w:t xml:space="preserve">dministrativo </w:t>
      </w:r>
      <w:r w:rsidR="00CE45FF">
        <w:rPr>
          <w:rFonts w:eastAsia="Times New Roman" w:cstheme="minorHAnsi"/>
          <w:color w:val="000000"/>
          <w:sz w:val="24"/>
          <w:szCs w:val="24"/>
          <w:lang w:eastAsia="es-ES"/>
        </w:rPr>
        <w:t>C</w:t>
      </w:r>
      <w:r w:rsidR="00C15552" w:rsidRPr="00C15552">
        <w:rPr>
          <w:rFonts w:eastAsia="Times New Roman" w:cstheme="minorHAnsi"/>
          <w:color w:val="000000"/>
          <w:sz w:val="24"/>
          <w:szCs w:val="24"/>
          <w:lang w:eastAsia="es-ES"/>
        </w:rPr>
        <w:t>omún de las Administraciones Públicas.</w:t>
      </w:r>
    </w:p>
    <w:p w14:paraId="10EF0458" w14:textId="77777777" w:rsidR="00C15552" w:rsidRDefault="00C15552" w:rsidP="00FC13C1">
      <w:pPr>
        <w:spacing w:line="276" w:lineRule="auto"/>
        <w:jc w:val="center"/>
        <w:rPr>
          <w:sz w:val="24"/>
          <w:szCs w:val="24"/>
        </w:rPr>
      </w:pPr>
    </w:p>
    <w:p w14:paraId="49B2985F" w14:textId="4D908E6C" w:rsidR="00D46CE9" w:rsidRDefault="00FC13C1" w:rsidP="00FC13C1">
      <w:pPr>
        <w:spacing w:line="276" w:lineRule="auto"/>
        <w:jc w:val="center"/>
        <w:rPr>
          <w:sz w:val="24"/>
          <w:szCs w:val="24"/>
        </w:rPr>
      </w:pPr>
      <w:r>
        <w:rPr>
          <w:sz w:val="24"/>
          <w:szCs w:val="24"/>
        </w:rPr>
        <w:t xml:space="preserve">LA </w:t>
      </w:r>
      <w:r w:rsidR="00DA686E">
        <w:rPr>
          <w:sz w:val="24"/>
          <w:szCs w:val="24"/>
        </w:rPr>
        <w:t>SECRETARIA GENERAL DE PESCA</w:t>
      </w:r>
    </w:p>
    <w:p w14:paraId="74FA3BD7" w14:textId="77777777" w:rsidR="00FC13C1" w:rsidRDefault="00FC13C1" w:rsidP="00FC13C1">
      <w:pPr>
        <w:spacing w:line="276" w:lineRule="auto"/>
        <w:jc w:val="center"/>
        <w:rPr>
          <w:sz w:val="24"/>
          <w:szCs w:val="24"/>
        </w:rPr>
      </w:pPr>
    </w:p>
    <w:p w14:paraId="4CCBE8C9" w14:textId="02F89760" w:rsidR="005353B7" w:rsidRDefault="00DA686E" w:rsidP="00FC13C1">
      <w:pPr>
        <w:spacing w:line="276" w:lineRule="auto"/>
        <w:jc w:val="center"/>
        <w:rPr>
          <w:sz w:val="24"/>
          <w:szCs w:val="24"/>
        </w:rPr>
      </w:pPr>
      <w:r>
        <w:rPr>
          <w:sz w:val="24"/>
          <w:szCs w:val="24"/>
        </w:rPr>
        <w:t>Isabel Artime García</w:t>
      </w:r>
    </w:p>
    <w:p w14:paraId="15D3FE65" w14:textId="77777777" w:rsidR="005353B7" w:rsidRDefault="005353B7">
      <w:pPr>
        <w:rPr>
          <w:sz w:val="24"/>
          <w:szCs w:val="24"/>
        </w:rPr>
      </w:pPr>
      <w:r>
        <w:rPr>
          <w:sz w:val="24"/>
          <w:szCs w:val="24"/>
        </w:rPr>
        <w:br w:type="page"/>
      </w:r>
    </w:p>
    <w:p w14:paraId="0D766BC8" w14:textId="77777777" w:rsidR="005353B7" w:rsidRDefault="005353B7" w:rsidP="005353B7">
      <w:pPr>
        <w:jc w:val="center"/>
        <w:rPr>
          <w:rFonts w:ascii="Arial" w:hAnsi="Arial" w:cs="Arial"/>
        </w:rPr>
      </w:pPr>
      <w:r w:rsidRPr="006521B6">
        <w:rPr>
          <w:rFonts w:ascii="Arial" w:hAnsi="Arial" w:cs="Arial"/>
          <w:b/>
          <w:bCs/>
        </w:rPr>
        <w:lastRenderedPageBreak/>
        <w:t>ANEXO</w:t>
      </w:r>
      <w:r w:rsidRPr="006521B6">
        <w:rPr>
          <w:rFonts w:ascii="Arial" w:hAnsi="Arial" w:cs="Arial"/>
        </w:rPr>
        <w:t xml:space="preserve">: </w:t>
      </w:r>
    </w:p>
    <w:p w14:paraId="1311904E" w14:textId="77777777" w:rsidR="005353B7" w:rsidRPr="006521B6" w:rsidRDefault="005353B7" w:rsidP="005353B7">
      <w:pPr>
        <w:jc w:val="center"/>
        <w:rPr>
          <w:rFonts w:ascii="Arial" w:eastAsia="Times New Roman" w:hAnsi="Arial" w:cs="Arial"/>
          <w:lang w:eastAsia="es-ES"/>
        </w:rPr>
      </w:pPr>
      <w:r w:rsidRPr="006521B6">
        <w:rPr>
          <w:rFonts w:ascii="Arial" w:eastAsia="Times New Roman" w:hAnsi="Arial" w:cs="Arial"/>
          <w:b/>
          <w:bCs/>
          <w:lang w:eastAsia="es-ES"/>
        </w:rPr>
        <w:t xml:space="preserve">Cantidades </w:t>
      </w:r>
      <w:r>
        <w:rPr>
          <w:rFonts w:ascii="Arial" w:hAnsi="Arial" w:cs="Arial"/>
          <w:b/>
          <w:bCs/>
        </w:rPr>
        <w:t xml:space="preserve">sobrantes y </w:t>
      </w:r>
      <w:r w:rsidRPr="006521B6">
        <w:rPr>
          <w:rFonts w:ascii="Arial" w:eastAsia="Times New Roman" w:hAnsi="Arial" w:cs="Arial"/>
          <w:b/>
          <w:bCs/>
          <w:lang w:eastAsia="es-ES"/>
        </w:rPr>
        <w:t>aportadas a la cuota conjunta del mecanismo de optimización por listas o buques</w:t>
      </w:r>
    </w:p>
    <w:p w14:paraId="2F3B9FFE" w14:textId="77777777" w:rsidR="005353B7" w:rsidRDefault="005353B7" w:rsidP="005353B7">
      <w:pPr>
        <w:jc w:val="both"/>
        <w:rPr>
          <w:rFonts w:ascii="Arial" w:hAnsi="Arial" w:cs="Arial"/>
        </w:rPr>
      </w:pPr>
    </w:p>
    <w:p w14:paraId="1D75A3E6" w14:textId="1EF81885" w:rsidR="005353B7" w:rsidRPr="006521B6" w:rsidRDefault="005353B7" w:rsidP="005353B7">
      <w:pPr>
        <w:jc w:val="both"/>
        <w:rPr>
          <w:rFonts w:ascii="Arial" w:hAnsi="Arial" w:cs="Arial"/>
        </w:rPr>
      </w:pPr>
      <w:r>
        <w:rPr>
          <w:rFonts w:ascii="Arial" w:hAnsi="Arial" w:cs="Arial"/>
        </w:rPr>
        <w:t xml:space="preserve"> </w:t>
      </w:r>
      <w:r w:rsidRPr="006521B6">
        <w:rPr>
          <w:rFonts w:ascii="Arial" w:hAnsi="Arial" w:cs="Arial"/>
        </w:rPr>
        <w:t xml:space="preserve">Considerando los cálculos anteriores, la cantidad </w:t>
      </w:r>
      <w:r>
        <w:rPr>
          <w:rFonts w:ascii="Arial" w:hAnsi="Arial" w:cs="Arial"/>
        </w:rPr>
        <w:t>sobrante</w:t>
      </w:r>
      <w:r w:rsidRPr="006521B6">
        <w:rPr>
          <w:rFonts w:ascii="Arial" w:hAnsi="Arial" w:cs="Arial"/>
        </w:rPr>
        <w:t xml:space="preserve"> asciende a </w:t>
      </w:r>
      <w:r w:rsidR="00A916C2" w:rsidRPr="00A916C2">
        <w:rPr>
          <w:rFonts w:ascii="Arial" w:hAnsi="Arial" w:cs="Arial"/>
        </w:rPr>
        <w:t>1.828.443,54</w:t>
      </w:r>
      <w:r w:rsidR="00A916C2">
        <w:rPr>
          <w:rFonts w:ascii="Arial" w:hAnsi="Arial" w:cs="Arial"/>
        </w:rPr>
        <w:t xml:space="preserve"> </w:t>
      </w:r>
      <w:r w:rsidRPr="00A916C2">
        <w:rPr>
          <w:rFonts w:ascii="Arial" w:hAnsi="Arial" w:cs="Arial"/>
        </w:rPr>
        <w:t>kg.</w:t>
      </w:r>
    </w:p>
    <w:p w14:paraId="451D731D" w14:textId="77777777" w:rsidR="005353B7" w:rsidRDefault="005353B7" w:rsidP="005353B7">
      <w:pPr>
        <w:spacing w:before="180" w:line="249" w:lineRule="auto"/>
        <w:ind w:left="1752" w:right="1750"/>
        <w:jc w:val="center"/>
        <w:rPr>
          <w:rFonts w:cstheme="minorHAnsi"/>
          <w:b/>
          <w:sz w:val="20"/>
          <w:highlight w:val="cyan"/>
        </w:rPr>
      </w:pPr>
    </w:p>
    <w:p w14:paraId="15D60118" w14:textId="77777777" w:rsidR="005353B7" w:rsidRPr="006521B6" w:rsidRDefault="005353B7" w:rsidP="005353B7">
      <w:pPr>
        <w:spacing w:before="180" w:line="249" w:lineRule="auto"/>
        <w:ind w:left="1752" w:right="1750"/>
        <w:jc w:val="center"/>
        <w:rPr>
          <w:rFonts w:cstheme="minorHAnsi"/>
          <w:b/>
          <w:sz w:val="20"/>
        </w:rPr>
      </w:pPr>
      <w:r w:rsidRPr="006521B6">
        <w:rPr>
          <w:rFonts w:cstheme="minorHAnsi"/>
          <w:b/>
          <w:sz w:val="20"/>
        </w:rPr>
        <w:t>Kilogramos de patudo aportados por listas</w:t>
      </w:r>
    </w:p>
    <w:p w14:paraId="4DF4BC3A" w14:textId="77777777" w:rsidR="005353B7" w:rsidRPr="006521B6" w:rsidRDefault="005353B7" w:rsidP="005353B7">
      <w:pPr>
        <w:pStyle w:val="Textoindependiente"/>
        <w:spacing w:before="3"/>
        <w:rPr>
          <w:rFonts w:asciiTheme="minorHAnsi" w:hAnsiTheme="minorHAnsi" w:cstheme="minorHAnsi"/>
          <w:b/>
          <w:sz w:val="16"/>
        </w:rPr>
      </w:pPr>
    </w:p>
    <w:tbl>
      <w:tblPr>
        <w:tblStyle w:val="TableNormal"/>
        <w:tblpPr w:leftFromText="141" w:rightFromText="141" w:vertAnchor="text" w:horzAnchor="margin" w:tblpXSpec="center" w:tblpY="44"/>
        <w:tblOverlap w:val="neve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3260"/>
        <w:gridCol w:w="1418"/>
      </w:tblGrid>
      <w:tr w:rsidR="002578E6" w:rsidRPr="00670A2A" w14:paraId="0E038E2F" w14:textId="77777777" w:rsidTr="002578E6">
        <w:trPr>
          <w:trHeight w:val="362"/>
        </w:trPr>
        <w:tc>
          <w:tcPr>
            <w:tcW w:w="3260" w:type="dxa"/>
            <w:shd w:val="clear" w:color="auto" w:fill="EDEDED"/>
          </w:tcPr>
          <w:p w14:paraId="2E6562C1" w14:textId="77777777" w:rsidR="002578E6" w:rsidRPr="006521B6" w:rsidRDefault="002578E6" w:rsidP="002578E6">
            <w:pPr>
              <w:pStyle w:val="TableParagraph"/>
              <w:jc w:val="center"/>
              <w:rPr>
                <w:rFonts w:asciiTheme="minorHAnsi" w:hAnsiTheme="minorHAnsi" w:cstheme="minorHAnsi"/>
                <w:sz w:val="18"/>
                <w:lang w:val="es-ES"/>
              </w:rPr>
            </w:pPr>
          </w:p>
        </w:tc>
        <w:tc>
          <w:tcPr>
            <w:tcW w:w="1418" w:type="dxa"/>
            <w:shd w:val="clear" w:color="auto" w:fill="EDEDED"/>
          </w:tcPr>
          <w:p w14:paraId="028A4847" w14:textId="77777777" w:rsidR="002578E6" w:rsidRPr="006521B6" w:rsidRDefault="002578E6" w:rsidP="002578E6">
            <w:pPr>
              <w:pStyle w:val="TableParagraph"/>
              <w:spacing w:before="87"/>
              <w:ind w:left="41" w:right="31"/>
              <w:jc w:val="center"/>
              <w:rPr>
                <w:rFonts w:asciiTheme="minorHAnsi" w:hAnsiTheme="minorHAnsi" w:cstheme="minorHAnsi"/>
                <w:b/>
                <w:sz w:val="16"/>
              </w:rPr>
            </w:pPr>
            <w:r w:rsidRPr="006521B6">
              <w:rPr>
                <w:rFonts w:asciiTheme="minorHAnsi" w:hAnsiTheme="minorHAnsi" w:cstheme="minorHAnsi"/>
                <w:b/>
                <w:sz w:val="16"/>
                <w:lang w:val="es-ES"/>
              </w:rPr>
              <w:t xml:space="preserve">  </w:t>
            </w:r>
            <w:r>
              <w:rPr>
                <w:rFonts w:asciiTheme="minorHAnsi" w:hAnsiTheme="minorHAnsi" w:cstheme="minorHAnsi"/>
                <w:b/>
                <w:sz w:val="16"/>
              </w:rPr>
              <w:t>Sobrante (kg)</w:t>
            </w:r>
          </w:p>
        </w:tc>
      </w:tr>
      <w:tr w:rsidR="002578E6" w:rsidRPr="00670A2A" w14:paraId="0D507099" w14:textId="77777777" w:rsidTr="002578E6">
        <w:tblPrEx>
          <w:tblCellMar>
            <w:left w:w="70" w:type="dxa"/>
            <w:right w:w="70" w:type="dxa"/>
          </w:tblCellMar>
        </w:tblPrEx>
        <w:trPr>
          <w:trHeight w:val="329"/>
        </w:trPr>
        <w:tc>
          <w:tcPr>
            <w:tcW w:w="3260" w:type="dxa"/>
          </w:tcPr>
          <w:p w14:paraId="39725201" w14:textId="77777777" w:rsidR="002578E6" w:rsidRPr="006521B6" w:rsidRDefault="002578E6" w:rsidP="002578E6">
            <w:pPr>
              <w:pStyle w:val="TableParagraph"/>
              <w:ind w:left="41" w:right="31"/>
              <w:jc w:val="center"/>
              <w:rPr>
                <w:rFonts w:asciiTheme="minorHAnsi" w:hAnsiTheme="minorHAnsi" w:cstheme="minorHAnsi"/>
                <w:sz w:val="18"/>
                <w:lang w:val="es-ES"/>
              </w:rPr>
            </w:pPr>
            <w:proofErr w:type="spellStart"/>
            <w:r w:rsidRPr="006521B6">
              <w:rPr>
                <w:rFonts w:asciiTheme="minorHAnsi" w:hAnsiTheme="minorHAnsi" w:cstheme="minorHAnsi"/>
                <w:sz w:val="18"/>
              </w:rPr>
              <w:t>Atuneros</w:t>
            </w:r>
            <w:proofErr w:type="spellEnd"/>
            <w:r w:rsidRPr="006521B6">
              <w:rPr>
                <w:rFonts w:asciiTheme="minorHAnsi" w:hAnsiTheme="minorHAnsi" w:cstheme="minorHAnsi"/>
                <w:sz w:val="18"/>
              </w:rPr>
              <w:t xml:space="preserve"> </w:t>
            </w:r>
            <w:proofErr w:type="spellStart"/>
            <w:r w:rsidRPr="006521B6">
              <w:rPr>
                <w:rFonts w:asciiTheme="minorHAnsi" w:hAnsiTheme="minorHAnsi" w:cstheme="minorHAnsi"/>
                <w:sz w:val="18"/>
              </w:rPr>
              <w:t>Cerqueros</w:t>
            </w:r>
            <w:proofErr w:type="spellEnd"/>
            <w:r w:rsidRPr="006521B6">
              <w:rPr>
                <w:rFonts w:asciiTheme="minorHAnsi" w:hAnsiTheme="minorHAnsi" w:cstheme="minorHAnsi"/>
                <w:sz w:val="18"/>
              </w:rPr>
              <w:t xml:space="preserve"> </w:t>
            </w:r>
            <w:proofErr w:type="spellStart"/>
            <w:r w:rsidRPr="006521B6">
              <w:rPr>
                <w:rFonts w:asciiTheme="minorHAnsi" w:hAnsiTheme="minorHAnsi" w:cstheme="minorHAnsi"/>
                <w:sz w:val="18"/>
              </w:rPr>
              <w:t>Congeladores</w:t>
            </w:r>
            <w:proofErr w:type="spellEnd"/>
            <w:r w:rsidRPr="006521B6">
              <w:rPr>
                <w:rFonts w:asciiTheme="minorHAnsi" w:hAnsiTheme="minorHAnsi" w:cstheme="minorHAnsi"/>
                <w:sz w:val="18"/>
              </w:rPr>
              <w:t>*</w:t>
            </w:r>
          </w:p>
        </w:tc>
        <w:tc>
          <w:tcPr>
            <w:tcW w:w="1418" w:type="dxa"/>
            <w:vAlign w:val="center"/>
          </w:tcPr>
          <w:p w14:paraId="71C0D24B" w14:textId="298E6317" w:rsidR="002578E6" w:rsidRPr="006521B6" w:rsidRDefault="00A916C2" w:rsidP="002578E6">
            <w:pPr>
              <w:pStyle w:val="TableParagraph"/>
              <w:ind w:left="61"/>
              <w:jc w:val="center"/>
              <w:rPr>
                <w:rFonts w:asciiTheme="minorHAnsi" w:hAnsiTheme="minorHAnsi" w:cstheme="minorHAnsi"/>
                <w:sz w:val="18"/>
                <w:szCs w:val="18"/>
              </w:rPr>
            </w:pPr>
            <w:r w:rsidRPr="00A916C2">
              <w:rPr>
                <w:rFonts w:asciiTheme="minorHAnsi" w:hAnsiTheme="minorHAnsi" w:cstheme="minorHAnsi"/>
                <w:sz w:val="18"/>
                <w:szCs w:val="18"/>
              </w:rPr>
              <w:t>400.322,72</w:t>
            </w:r>
          </w:p>
        </w:tc>
      </w:tr>
      <w:tr w:rsidR="002578E6" w:rsidRPr="00670A2A" w14:paraId="78FBFEC8" w14:textId="77777777" w:rsidTr="002578E6">
        <w:tblPrEx>
          <w:tblCellMar>
            <w:left w:w="70" w:type="dxa"/>
            <w:right w:w="70" w:type="dxa"/>
          </w:tblCellMar>
        </w:tblPrEx>
        <w:trPr>
          <w:trHeight w:val="329"/>
        </w:trPr>
        <w:tc>
          <w:tcPr>
            <w:tcW w:w="3260" w:type="dxa"/>
          </w:tcPr>
          <w:p w14:paraId="61FC600B" w14:textId="77777777" w:rsidR="002578E6" w:rsidRPr="006521B6" w:rsidRDefault="002578E6" w:rsidP="002578E6">
            <w:pPr>
              <w:pStyle w:val="TableParagraph"/>
              <w:ind w:left="61"/>
              <w:jc w:val="center"/>
              <w:rPr>
                <w:rFonts w:asciiTheme="minorHAnsi" w:hAnsiTheme="minorHAnsi" w:cstheme="minorHAnsi"/>
                <w:sz w:val="18"/>
                <w:szCs w:val="18"/>
              </w:rPr>
            </w:pPr>
            <w:proofErr w:type="spellStart"/>
            <w:r w:rsidRPr="006521B6">
              <w:rPr>
                <w:rFonts w:asciiTheme="minorHAnsi" w:hAnsiTheme="minorHAnsi" w:cstheme="minorHAnsi"/>
                <w:sz w:val="18"/>
                <w:szCs w:val="18"/>
              </w:rPr>
              <w:t>Atuneros</w:t>
            </w:r>
            <w:proofErr w:type="spellEnd"/>
            <w:r w:rsidRPr="006521B6">
              <w:rPr>
                <w:rFonts w:asciiTheme="minorHAnsi" w:hAnsiTheme="minorHAnsi" w:cstheme="minorHAnsi"/>
                <w:sz w:val="18"/>
                <w:szCs w:val="18"/>
              </w:rPr>
              <w:t xml:space="preserve"> </w:t>
            </w:r>
            <w:proofErr w:type="spellStart"/>
            <w:r w:rsidRPr="006521B6">
              <w:rPr>
                <w:rFonts w:asciiTheme="minorHAnsi" w:hAnsiTheme="minorHAnsi" w:cstheme="minorHAnsi"/>
                <w:sz w:val="18"/>
                <w:szCs w:val="18"/>
              </w:rPr>
              <w:t>Cañeros</w:t>
            </w:r>
            <w:proofErr w:type="spellEnd"/>
            <w:r w:rsidRPr="006521B6">
              <w:rPr>
                <w:rFonts w:asciiTheme="minorHAnsi" w:hAnsiTheme="minorHAnsi" w:cstheme="minorHAnsi"/>
                <w:sz w:val="18"/>
                <w:szCs w:val="18"/>
              </w:rPr>
              <w:t xml:space="preserve"> </w:t>
            </w:r>
            <w:proofErr w:type="spellStart"/>
            <w:r w:rsidRPr="006521B6">
              <w:rPr>
                <w:rFonts w:asciiTheme="minorHAnsi" w:hAnsiTheme="minorHAnsi" w:cstheme="minorHAnsi"/>
                <w:sz w:val="18"/>
                <w:szCs w:val="18"/>
              </w:rPr>
              <w:t>Canarios</w:t>
            </w:r>
            <w:proofErr w:type="spellEnd"/>
          </w:p>
        </w:tc>
        <w:tc>
          <w:tcPr>
            <w:tcW w:w="1418" w:type="dxa"/>
            <w:vAlign w:val="center"/>
          </w:tcPr>
          <w:p w14:paraId="29FD6442" w14:textId="1067155C" w:rsidR="002578E6" w:rsidRPr="006521B6" w:rsidRDefault="001B4CC6" w:rsidP="002578E6">
            <w:pPr>
              <w:pStyle w:val="TableParagraph"/>
              <w:ind w:left="61"/>
              <w:jc w:val="center"/>
              <w:rPr>
                <w:rFonts w:asciiTheme="minorHAnsi" w:hAnsiTheme="minorHAnsi" w:cstheme="minorHAnsi"/>
                <w:sz w:val="18"/>
                <w:szCs w:val="18"/>
              </w:rPr>
            </w:pPr>
            <w:r w:rsidRPr="001B4CC6">
              <w:rPr>
                <w:rFonts w:asciiTheme="minorHAnsi" w:hAnsiTheme="minorHAnsi" w:cstheme="minorHAnsi"/>
                <w:sz w:val="18"/>
                <w:szCs w:val="18"/>
              </w:rPr>
              <w:t>632.547,71</w:t>
            </w:r>
          </w:p>
        </w:tc>
      </w:tr>
      <w:tr w:rsidR="002578E6" w:rsidRPr="00670A2A" w14:paraId="56904941" w14:textId="77777777" w:rsidTr="002578E6">
        <w:tblPrEx>
          <w:tblCellMar>
            <w:left w:w="70" w:type="dxa"/>
            <w:right w:w="70" w:type="dxa"/>
          </w:tblCellMar>
        </w:tblPrEx>
        <w:trPr>
          <w:trHeight w:val="329"/>
        </w:trPr>
        <w:tc>
          <w:tcPr>
            <w:tcW w:w="3260" w:type="dxa"/>
          </w:tcPr>
          <w:p w14:paraId="766A3172" w14:textId="77777777" w:rsidR="002578E6" w:rsidRPr="006521B6" w:rsidRDefault="002578E6" w:rsidP="002578E6">
            <w:pPr>
              <w:pStyle w:val="TableParagraph"/>
              <w:ind w:left="61"/>
              <w:jc w:val="center"/>
              <w:rPr>
                <w:rFonts w:asciiTheme="minorHAnsi" w:hAnsiTheme="minorHAnsi" w:cstheme="minorHAnsi"/>
                <w:sz w:val="18"/>
                <w:szCs w:val="18"/>
                <w:lang w:val="es-ES"/>
              </w:rPr>
            </w:pPr>
            <w:r w:rsidRPr="006521B6">
              <w:rPr>
                <w:rFonts w:asciiTheme="minorHAnsi" w:hAnsiTheme="minorHAnsi" w:cstheme="minorHAnsi"/>
                <w:sz w:val="18"/>
                <w:szCs w:val="18"/>
                <w:lang w:val="es-ES"/>
              </w:rPr>
              <w:t>Atuneros Cañeros en Aguas Africana</w:t>
            </w:r>
            <w:r w:rsidRPr="006521B6">
              <w:rPr>
                <w:rFonts w:asciiTheme="minorHAnsi" w:hAnsiTheme="minorHAnsi" w:cstheme="minorHAnsi"/>
                <w:sz w:val="18"/>
                <w:lang w:val="es-ES"/>
              </w:rPr>
              <w:t>*</w:t>
            </w:r>
          </w:p>
        </w:tc>
        <w:tc>
          <w:tcPr>
            <w:tcW w:w="1418" w:type="dxa"/>
            <w:vAlign w:val="center"/>
          </w:tcPr>
          <w:p w14:paraId="62F7C6BE" w14:textId="1F3B30AC" w:rsidR="002578E6" w:rsidRPr="00AA4556" w:rsidRDefault="00A916C2" w:rsidP="002578E6">
            <w:pPr>
              <w:pStyle w:val="TableParagraph"/>
              <w:ind w:left="61"/>
              <w:jc w:val="center"/>
              <w:rPr>
                <w:rFonts w:asciiTheme="minorHAnsi" w:hAnsiTheme="minorHAnsi" w:cstheme="minorHAnsi"/>
                <w:sz w:val="18"/>
                <w:szCs w:val="18"/>
                <w:lang w:val="es-ES"/>
              </w:rPr>
            </w:pPr>
            <w:r w:rsidRPr="00A916C2">
              <w:rPr>
                <w:rFonts w:asciiTheme="minorHAnsi" w:hAnsiTheme="minorHAnsi" w:cstheme="minorHAnsi"/>
                <w:sz w:val="18"/>
                <w:szCs w:val="18"/>
                <w:lang w:val="es-ES"/>
              </w:rPr>
              <w:t>311.302,22</w:t>
            </w:r>
          </w:p>
        </w:tc>
      </w:tr>
      <w:tr w:rsidR="001B4CC6" w:rsidRPr="00670A2A" w14:paraId="1F1B0DAD" w14:textId="77777777" w:rsidTr="002578E6">
        <w:tblPrEx>
          <w:tblCellMar>
            <w:left w:w="70" w:type="dxa"/>
            <w:right w:w="70" w:type="dxa"/>
          </w:tblCellMar>
        </w:tblPrEx>
        <w:trPr>
          <w:trHeight w:val="329"/>
        </w:trPr>
        <w:tc>
          <w:tcPr>
            <w:tcW w:w="3260" w:type="dxa"/>
          </w:tcPr>
          <w:p w14:paraId="5F70572C" w14:textId="51FDB588" w:rsidR="001B4CC6" w:rsidRPr="006521B6" w:rsidRDefault="001B4CC6" w:rsidP="002578E6">
            <w:pPr>
              <w:pStyle w:val="TableParagraph"/>
              <w:ind w:left="61"/>
              <w:jc w:val="center"/>
              <w:rPr>
                <w:rFonts w:asciiTheme="minorHAnsi" w:hAnsiTheme="minorHAnsi" w:cstheme="minorHAnsi"/>
                <w:sz w:val="18"/>
                <w:szCs w:val="18"/>
              </w:rPr>
            </w:pPr>
            <w:r>
              <w:rPr>
                <w:rFonts w:asciiTheme="minorHAnsi" w:hAnsiTheme="minorHAnsi" w:cstheme="minorHAnsi"/>
                <w:sz w:val="18"/>
                <w:szCs w:val="18"/>
              </w:rPr>
              <w:t xml:space="preserve">Flota </w:t>
            </w:r>
            <w:proofErr w:type="spellStart"/>
            <w:r>
              <w:rPr>
                <w:rFonts w:asciiTheme="minorHAnsi" w:hAnsiTheme="minorHAnsi" w:cstheme="minorHAnsi"/>
                <w:sz w:val="18"/>
                <w:szCs w:val="18"/>
              </w:rPr>
              <w:t>Canaria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Artesanal</w:t>
            </w:r>
            <w:proofErr w:type="spellEnd"/>
          </w:p>
        </w:tc>
        <w:tc>
          <w:tcPr>
            <w:tcW w:w="1418" w:type="dxa"/>
            <w:vAlign w:val="center"/>
          </w:tcPr>
          <w:p w14:paraId="73CD1E94" w14:textId="1928767E" w:rsidR="001B4CC6" w:rsidRPr="001B4CC6" w:rsidRDefault="001B4CC6" w:rsidP="002578E6">
            <w:pPr>
              <w:pStyle w:val="TableParagraph"/>
              <w:ind w:left="61"/>
              <w:jc w:val="center"/>
              <w:rPr>
                <w:rFonts w:asciiTheme="minorHAnsi" w:hAnsiTheme="minorHAnsi" w:cstheme="minorHAnsi"/>
                <w:sz w:val="18"/>
                <w:szCs w:val="18"/>
              </w:rPr>
            </w:pPr>
            <w:r w:rsidRPr="001B4CC6">
              <w:rPr>
                <w:rFonts w:asciiTheme="minorHAnsi" w:hAnsiTheme="minorHAnsi" w:cstheme="minorHAnsi"/>
                <w:sz w:val="18"/>
                <w:szCs w:val="18"/>
              </w:rPr>
              <w:t>5.613,96</w:t>
            </w:r>
          </w:p>
        </w:tc>
      </w:tr>
      <w:tr w:rsidR="002578E6" w:rsidRPr="007245C1" w14:paraId="7D353EB3" w14:textId="77777777" w:rsidTr="002578E6">
        <w:tblPrEx>
          <w:tblCellMar>
            <w:left w:w="70" w:type="dxa"/>
            <w:right w:w="70" w:type="dxa"/>
          </w:tblCellMar>
        </w:tblPrEx>
        <w:trPr>
          <w:trHeight w:val="329"/>
        </w:trPr>
        <w:tc>
          <w:tcPr>
            <w:tcW w:w="3260" w:type="dxa"/>
          </w:tcPr>
          <w:p w14:paraId="78572178" w14:textId="77777777" w:rsidR="002578E6" w:rsidRPr="006521B6" w:rsidRDefault="002578E6" w:rsidP="002578E6">
            <w:pPr>
              <w:pStyle w:val="TableParagraph"/>
              <w:ind w:left="61"/>
              <w:jc w:val="center"/>
              <w:rPr>
                <w:rFonts w:asciiTheme="minorHAnsi" w:hAnsiTheme="minorHAnsi" w:cstheme="minorHAnsi"/>
                <w:sz w:val="18"/>
                <w:szCs w:val="18"/>
              </w:rPr>
            </w:pPr>
            <w:proofErr w:type="spellStart"/>
            <w:r w:rsidRPr="006521B6">
              <w:rPr>
                <w:rFonts w:asciiTheme="minorHAnsi" w:hAnsiTheme="minorHAnsi" w:cstheme="minorHAnsi"/>
                <w:sz w:val="18"/>
                <w:szCs w:val="18"/>
              </w:rPr>
              <w:t>Palangreros</w:t>
            </w:r>
            <w:proofErr w:type="spellEnd"/>
            <w:r w:rsidRPr="006521B6">
              <w:rPr>
                <w:rFonts w:asciiTheme="minorHAnsi" w:hAnsiTheme="minorHAnsi" w:cstheme="minorHAnsi"/>
                <w:sz w:val="18"/>
                <w:szCs w:val="18"/>
              </w:rPr>
              <w:t xml:space="preserve"> de Superficie</w:t>
            </w:r>
          </w:p>
        </w:tc>
        <w:tc>
          <w:tcPr>
            <w:tcW w:w="1418" w:type="dxa"/>
            <w:vAlign w:val="center"/>
          </w:tcPr>
          <w:p w14:paraId="41ABF726" w14:textId="3BDBE650" w:rsidR="002578E6" w:rsidRPr="006521B6" w:rsidRDefault="001B4CC6" w:rsidP="002578E6">
            <w:pPr>
              <w:pStyle w:val="TableParagraph"/>
              <w:ind w:left="61"/>
              <w:jc w:val="center"/>
              <w:rPr>
                <w:rFonts w:asciiTheme="minorHAnsi" w:hAnsiTheme="minorHAnsi" w:cstheme="minorHAnsi"/>
                <w:sz w:val="18"/>
                <w:szCs w:val="18"/>
              </w:rPr>
            </w:pPr>
            <w:r w:rsidRPr="001B4CC6">
              <w:rPr>
                <w:rFonts w:asciiTheme="minorHAnsi" w:hAnsiTheme="minorHAnsi" w:cstheme="minorHAnsi"/>
                <w:sz w:val="18"/>
                <w:szCs w:val="18"/>
              </w:rPr>
              <w:t>478.656,93</w:t>
            </w:r>
          </w:p>
        </w:tc>
      </w:tr>
    </w:tbl>
    <w:p w14:paraId="2321B548" w14:textId="77777777" w:rsidR="005353B7" w:rsidRPr="007245C1" w:rsidRDefault="005353B7" w:rsidP="005353B7">
      <w:pPr>
        <w:pStyle w:val="Textoindependiente"/>
        <w:spacing w:before="8"/>
        <w:rPr>
          <w:rFonts w:asciiTheme="minorHAnsi" w:hAnsiTheme="minorHAnsi" w:cstheme="minorHAnsi"/>
          <w:b/>
          <w:highlight w:val="cyan"/>
        </w:rPr>
      </w:pPr>
    </w:p>
    <w:p w14:paraId="5F344DFE" w14:textId="77777777" w:rsidR="005353B7" w:rsidRPr="007245C1" w:rsidRDefault="005353B7" w:rsidP="005353B7">
      <w:pPr>
        <w:pStyle w:val="Textoindependiente"/>
        <w:spacing w:before="8"/>
        <w:rPr>
          <w:rFonts w:asciiTheme="minorHAnsi" w:hAnsiTheme="minorHAnsi" w:cstheme="minorHAnsi"/>
          <w:b/>
          <w:highlight w:val="cyan"/>
        </w:rPr>
      </w:pPr>
    </w:p>
    <w:p w14:paraId="74A0E402" w14:textId="1E909331" w:rsidR="005353B7" w:rsidRDefault="005353B7" w:rsidP="005353B7">
      <w:pPr>
        <w:pStyle w:val="Textoindependiente"/>
        <w:spacing w:before="8"/>
        <w:rPr>
          <w:rFonts w:asciiTheme="minorHAnsi" w:hAnsiTheme="minorHAnsi" w:cstheme="minorHAnsi"/>
          <w:b/>
          <w:highlight w:val="cyan"/>
        </w:rPr>
      </w:pPr>
    </w:p>
    <w:p w14:paraId="40F4E74D" w14:textId="77777777" w:rsidR="005353B7" w:rsidRDefault="005353B7" w:rsidP="005353B7">
      <w:pPr>
        <w:pStyle w:val="Textoindependiente"/>
        <w:spacing w:before="8"/>
        <w:rPr>
          <w:rFonts w:asciiTheme="minorHAnsi" w:hAnsiTheme="minorHAnsi" w:cstheme="minorHAnsi"/>
          <w:b/>
          <w:highlight w:val="cyan"/>
        </w:rPr>
      </w:pPr>
    </w:p>
    <w:p w14:paraId="5B581FA7" w14:textId="77777777" w:rsidR="005353B7" w:rsidRDefault="005353B7" w:rsidP="005353B7">
      <w:pPr>
        <w:pStyle w:val="Textoindependiente"/>
        <w:spacing w:before="8"/>
        <w:rPr>
          <w:rFonts w:asciiTheme="minorHAnsi" w:hAnsiTheme="minorHAnsi" w:cstheme="minorHAnsi"/>
          <w:b/>
          <w:highlight w:val="cyan"/>
        </w:rPr>
      </w:pPr>
    </w:p>
    <w:p w14:paraId="5EC33E7B" w14:textId="77777777" w:rsidR="005353B7" w:rsidRDefault="005353B7" w:rsidP="005353B7">
      <w:pPr>
        <w:pStyle w:val="Textoindependiente"/>
        <w:spacing w:before="8"/>
        <w:rPr>
          <w:rFonts w:asciiTheme="minorHAnsi" w:hAnsiTheme="minorHAnsi" w:cstheme="minorHAnsi"/>
          <w:b/>
          <w:highlight w:val="cyan"/>
        </w:rPr>
      </w:pPr>
    </w:p>
    <w:p w14:paraId="0340D558" w14:textId="77777777" w:rsidR="005353B7" w:rsidRPr="00A916C2" w:rsidRDefault="005353B7" w:rsidP="005353B7">
      <w:pPr>
        <w:pStyle w:val="Textoindependiente"/>
        <w:spacing w:before="8"/>
        <w:rPr>
          <w:rFonts w:asciiTheme="minorHAnsi" w:hAnsiTheme="minorHAnsi" w:cstheme="minorHAnsi"/>
          <w:b/>
          <w:sz w:val="24"/>
          <w:szCs w:val="18"/>
          <w:highlight w:val="cyan"/>
        </w:rPr>
      </w:pPr>
    </w:p>
    <w:p w14:paraId="69455095" w14:textId="0373230C" w:rsidR="005353B7" w:rsidRPr="00A916C2" w:rsidRDefault="005353B7" w:rsidP="005353B7">
      <w:pPr>
        <w:jc w:val="center"/>
        <w:rPr>
          <w:rFonts w:ascii="Arial" w:hAnsi="Arial" w:cs="Arial"/>
          <w:sz w:val="20"/>
          <w:szCs w:val="20"/>
        </w:rPr>
      </w:pPr>
      <w:r w:rsidRPr="00A916C2">
        <w:rPr>
          <w:rFonts w:ascii="Arial" w:hAnsi="Arial" w:cs="Arial"/>
          <w:sz w:val="20"/>
          <w:szCs w:val="20"/>
        </w:rPr>
        <w:t>*</w:t>
      </w:r>
      <w:r w:rsidRPr="00A916C2">
        <w:rPr>
          <w:rFonts w:ascii="Arial" w:hAnsi="Arial" w:cs="Arial"/>
          <w:i/>
          <w:iCs/>
          <w:sz w:val="20"/>
          <w:szCs w:val="20"/>
        </w:rPr>
        <w:t>Esta cantidad procede de la suma de</w:t>
      </w:r>
      <w:r w:rsidR="00A916C2" w:rsidRPr="00A916C2">
        <w:rPr>
          <w:rFonts w:ascii="Arial" w:hAnsi="Arial" w:cs="Arial"/>
          <w:i/>
          <w:iCs/>
          <w:sz w:val="20"/>
          <w:szCs w:val="20"/>
        </w:rPr>
        <w:t xml:space="preserve">l aporte </w:t>
      </w:r>
      <w:r w:rsidRPr="00A916C2">
        <w:rPr>
          <w:rFonts w:ascii="Arial" w:hAnsi="Arial" w:cs="Arial"/>
          <w:i/>
          <w:iCs/>
          <w:sz w:val="20"/>
          <w:szCs w:val="20"/>
        </w:rPr>
        <w:t>individual de cada buque de las listas a) y c):</w:t>
      </w:r>
    </w:p>
    <w:p w14:paraId="23314624" w14:textId="5905FB5D" w:rsidR="005353B7" w:rsidRPr="006521B6" w:rsidRDefault="005353B7" w:rsidP="005353B7">
      <w:pPr>
        <w:spacing w:before="180" w:line="249" w:lineRule="auto"/>
        <w:ind w:left="1752" w:right="1750"/>
        <w:jc w:val="center"/>
        <w:rPr>
          <w:rFonts w:cstheme="minorHAnsi"/>
          <w:b/>
          <w:i/>
          <w:iCs/>
          <w:sz w:val="20"/>
        </w:rPr>
      </w:pPr>
      <w:r w:rsidRPr="006521B6">
        <w:rPr>
          <w:rFonts w:cstheme="minorHAnsi"/>
          <w:b/>
          <w:i/>
          <w:iCs/>
          <w:sz w:val="20"/>
        </w:rPr>
        <w:t xml:space="preserve">Kilogramos de </w:t>
      </w:r>
      <w:proofErr w:type="gramStart"/>
      <w:r w:rsidRPr="006521B6">
        <w:rPr>
          <w:rFonts w:cstheme="minorHAnsi"/>
          <w:b/>
          <w:i/>
          <w:iCs/>
          <w:sz w:val="20"/>
        </w:rPr>
        <w:t xml:space="preserve">patudo </w:t>
      </w:r>
      <w:r>
        <w:rPr>
          <w:rFonts w:cstheme="minorHAnsi"/>
          <w:b/>
          <w:i/>
          <w:iCs/>
          <w:sz w:val="20"/>
        </w:rPr>
        <w:t>sobrantes</w:t>
      </w:r>
      <w:proofErr w:type="gramEnd"/>
      <w:r>
        <w:rPr>
          <w:rFonts w:cstheme="minorHAnsi"/>
          <w:b/>
          <w:i/>
          <w:iCs/>
          <w:sz w:val="20"/>
        </w:rPr>
        <w:t xml:space="preserve"> de los buques </w:t>
      </w:r>
      <w:r w:rsidRPr="006521B6">
        <w:rPr>
          <w:rFonts w:cstheme="minorHAnsi"/>
          <w:b/>
          <w:i/>
          <w:iCs/>
          <w:sz w:val="20"/>
        </w:rPr>
        <w:t>la Lista a) atuneros cerqueros congeladores</w:t>
      </w:r>
    </w:p>
    <w:p w14:paraId="345C8DAC" w14:textId="77777777" w:rsidR="005353B7" w:rsidRPr="006521B6" w:rsidRDefault="005353B7" w:rsidP="005353B7">
      <w:pPr>
        <w:pStyle w:val="Textoindependiente"/>
        <w:spacing w:before="8"/>
        <w:rPr>
          <w:rFonts w:asciiTheme="minorHAnsi" w:hAnsiTheme="minorHAnsi" w:cstheme="minorHAnsi"/>
          <w:b/>
          <w:i/>
          <w:iCs/>
        </w:rPr>
      </w:pPr>
    </w:p>
    <w:tbl>
      <w:tblPr>
        <w:tblStyle w:val="TableNormal"/>
        <w:tblW w:w="0" w:type="auto"/>
        <w:tblInd w:w="127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852"/>
        <w:gridCol w:w="2477"/>
        <w:gridCol w:w="1303"/>
        <w:gridCol w:w="1317"/>
      </w:tblGrid>
      <w:tr w:rsidR="005353B7" w:rsidRPr="007D7C23" w14:paraId="19914A1E" w14:textId="77777777" w:rsidTr="001B4CC6">
        <w:trPr>
          <w:trHeight w:val="554"/>
        </w:trPr>
        <w:tc>
          <w:tcPr>
            <w:tcW w:w="852" w:type="dxa"/>
            <w:shd w:val="clear" w:color="auto" w:fill="EDEDED"/>
          </w:tcPr>
          <w:p w14:paraId="5DB3DAF8" w14:textId="77777777" w:rsidR="005353B7" w:rsidRPr="006521B6" w:rsidRDefault="005353B7" w:rsidP="006521B6">
            <w:pPr>
              <w:pStyle w:val="TableParagraph"/>
              <w:spacing w:before="9"/>
              <w:rPr>
                <w:rFonts w:asciiTheme="minorHAnsi" w:hAnsiTheme="minorHAnsi" w:cstheme="minorHAnsi"/>
                <w:b/>
                <w:i/>
                <w:iCs/>
                <w:sz w:val="15"/>
                <w:lang w:val="es-ES"/>
              </w:rPr>
            </w:pPr>
          </w:p>
          <w:p w14:paraId="57E453FA" w14:textId="77777777" w:rsidR="005353B7" w:rsidRPr="006521B6" w:rsidRDefault="005353B7" w:rsidP="006521B6">
            <w:pPr>
              <w:pStyle w:val="TableParagraph"/>
              <w:spacing w:before="1"/>
              <w:ind w:left="41" w:right="31"/>
              <w:jc w:val="center"/>
              <w:rPr>
                <w:rFonts w:asciiTheme="minorHAnsi" w:hAnsiTheme="minorHAnsi" w:cstheme="minorHAnsi"/>
                <w:b/>
                <w:i/>
                <w:iCs/>
                <w:sz w:val="16"/>
              </w:rPr>
            </w:pPr>
            <w:r w:rsidRPr="006521B6">
              <w:rPr>
                <w:rFonts w:asciiTheme="minorHAnsi" w:hAnsiTheme="minorHAnsi" w:cstheme="minorHAnsi"/>
                <w:b/>
                <w:i/>
                <w:iCs/>
                <w:sz w:val="16"/>
              </w:rPr>
              <w:t>Código</w:t>
            </w:r>
          </w:p>
        </w:tc>
        <w:tc>
          <w:tcPr>
            <w:tcW w:w="2477" w:type="dxa"/>
            <w:shd w:val="clear" w:color="auto" w:fill="EDEDED"/>
          </w:tcPr>
          <w:p w14:paraId="6D768FA2" w14:textId="77777777" w:rsidR="005353B7" w:rsidRPr="006521B6" w:rsidRDefault="005353B7" w:rsidP="006521B6">
            <w:pPr>
              <w:pStyle w:val="TableParagraph"/>
              <w:spacing w:before="9"/>
              <w:rPr>
                <w:rFonts w:asciiTheme="minorHAnsi" w:hAnsiTheme="minorHAnsi" w:cstheme="minorHAnsi"/>
                <w:b/>
                <w:i/>
                <w:iCs/>
                <w:sz w:val="15"/>
              </w:rPr>
            </w:pPr>
          </w:p>
          <w:p w14:paraId="787136AE" w14:textId="77777777" w:rsidR="005353B7" w:rsidRPr="006521B6" w:rsidRDefault="005353B7" w:rsidP="006521B6">
            <w:pPr>
              <w:pStyle w:val="TableParagraph"/>
              <w:spacing w:before="1"/>
              <w:ind w:left="669"/>
              <w:rPr>
                <w:rFonts w:asciiTheme="minorHAnsi" w:hAnsiTheme="minorHAnsi" w:cstheme="minorHAnsi"/>
                <w:b/>
                <w:i/>
                <w:iCs/>
                <w:sz w:val="16"/>
              </w:rPr>
            </w:pPr>
            <w:r w:rsidRPr="006521B6">
              <w:rPr>
                <w:rFonts w:asciiTheme="minorHAnsi" w:hAnsiTheme="minorHAnsi" w:cstheme="minorHAnsi"/>
                <w:b/>
                <w:i/>
                <w:iCs/>
                <w:sz w:val="16"/>
              </w:rPr>
              <w:t xml:space="preserve">Nombre de </w:t>
            </w:r>
            <w:proofErr w:type="spellStart"/>
            <w:r w:rsidRPr="006521B6">
              <w:rPr>
                <w:rFonts w:asciiTheme="minorHAnsi" w:hAnsiTheme="minorHAnsi" w:cstheme="minorHAnsi"/>
                <w:b/>
                <w:i/>
                <w:iCs/>
                <w:sz w:val="16"/>
              </w:rPr>
              <w:t>barco</w:t>
            </w:r>
            <w:proofErr w:type="spellEnd"/>
          </w:p>
        </w:tc>
        <w:tc>
          <w:tcPr>
            <w:tcW w:w="1303" w:type="dxa"/>
            <w:shd w:val="clear" w:color="auto" w:fill="EDEDED"/>
          </w:tcPr>
          <w:p w14:paraId="2A4BA2BB" w14:textId="77777777" w:rsidR="005353B7" w:rsidRPr="006521B6" w:rsidRDefault="005353B7" w:rsidP="006521B6">
            <w:pPr>
              <w:pStyle w:val="TableParagraph"/>
              <w:spacing w:before="9"/>
              <w:rPr>
                <w:rFonts w:asciiTheme="minorHAnsi" w:hAnsiTheme="minorHAnsi" w:cstheme="minorHAnsi"/>
                <w:b/>
                <w:i/>
                <w:iCs/>
                <w:sz w:val="15"/>
              </w:rPr>
            </w:pPr>
          </w:p>
          <w:p w14:paraId="32AE9A9B" w14:textId="77777777" w:rsidR="005353B7" w:rsidRPr="006521B6" w:rsidRDefault="005353B7" w:rsidP="006521B6">
            <w:pPr>
              <w:pStyle w:val="TableParagraph"/>
              <w:spacing w:before="1"/>
              <w:ind w:left="40" w:right="29"/>
              <w:jc w:val="center"/>
              <w:rPr>
                <w:rFonts w:asciiTheme="minorHAnsi" w:hAnsiTheme="minorHAnsi" w:cstheme="minorHAnsi"/>
                <w:b/>
                <w:i/>
                <w:iCs/>
                <w:sz w:val="16"/>
              </w:rPr>
            </w:pPr>
            <w:r w:rsidRPr="006521B6">
              <w:rPr>
                <w:rFonts w:asciiTheme="minorHAnsi" w:hAnsiTheme="minorHAnsi" w:cstheme="minorHAnsi"/>
                <w:b/>
                <w:i/>
                <w:iCs/>
                <w:sz w:val="16"/>
              </w:rPr>
              <w:t xml:space="preserve">Tipo de </w:t>
            </w:r>
            <w:proofErr w:type="spellStart"/>
            <w:r w:rsidRPr="006521B6">
              <w:rPr>
                <w:rFonts w:asciiTheme="minorHAnsi" w:hAnsiTheme="minorHAnsi" w:cstheme="minorHAnsi"/>
                <w:b/>
                <w:i/>
                <w:iCs/>
                <w:sz w:val="16"/>
              </w:rPr>
              <w:t>gestión</w:t>
            </w:r>
            <w:proofErr w:type="spellEnd"/>
          </w:p>
        </w:tc>
        <w:tc>
          <w:tcPr>
            <w:tcW w:w="1317" w:type="dxa"/>
            <w:shd w:val="clear" w:color="auto" w:fill="EDEDED"/>
          </w:tcPr>
          <w:p w14:paraId="6F6DE866" w14:textId="77777777" w:rsidR="005353B7" w:rsidRDefault="005353B7" w:rsidP="006521B6">
            <w:pPr>
              <w:pStyle w:val="TableParagraph"/>
              <w:spacing w:before="1"/>
              <w:ind w:left="40" w:right="29"/>
              <w:jc w:val="center"/>
              <w:rPr>
                <w:rFonts w:asciiTheme="minorHAnsi" w:hAnsiTheme="minorHAnsi" w:cstheme="minorHAnsi"/>
                <w:b/>
                <w:i/>
                <w:iCs/>
                <w:sz w:val="16"/>
              </w:rPr>
            </w:pPr>
          </w:p>
          <w:p w14:paraId="667984D1" w14:textId="77777777" w:rsidR="005353B7" w:rsidRPr="006521B6" w:rsidRDefault="005353B7" w:rsidP="006521B6">
            <w:pPr>
              <w:pStyle w:val="TableParagraph"/>
              <w:spacing w:before="1"/>
              <w:ind w:left="40" w:right="29"/>
              <w:jc w:val="center"/>
              <w:rPr>
                <w:rFonts w:asciiTheme="minorHAnsi" w:hAnsiTheme="minorHAnsi" w:cstheme="minorHAnsi"/>
                <w:b/>
                <w:i/>
                <w:iCs/>
                <w:sz w:val="16"/>
              </w:rPr>
            </w:pPr>
            <w:r w:rsidRPr="000253B0">
              <w:rPr>
                <w:rFonts w:asciiTheme="minorHAnsi" w:hAnsiTheme="minorHAnsi" w:cstheme="minorHAnsi"/>
                <w:b/>
                <w:i/>
                <w:iCs/>
                <w:sz w:val="16"/>
              </w:rPr>
              <w:t>Sobrante (kg)</w:t>
            </w:r>
          </w:p>
        </w:tc>
      </w:tr>
      <w:tr w:rsidR="005353B7" w:rsidRPr="007D7C23" w14:paraId="70A186BD" w14:textId="77777777" w:rsidTr="001B4CC6">
        <w:trPr>
          <w:trHeight w:val="329"/>
        </w:trPr>
        <w:tc>
          <w:tcPr>
            <w:tcW w:w="852" w:type="dxa"/>
          </w:tcPr>
          <w:p w14:paraId="2433E886" w14:textId="77777777" w:rsidR="005353B7" w:rsidRPr="006521B6" w:rsidRDefault="005353B7" w:rsidP="006521B6">
            <w:pPr>
              <w:pStyle w:val="TableParagraph"/>
              <w:ind w:left="61"/>
              <w:jc w:val="center"/>
              <w:rPr>
                <w:rFonts w:asciiTheme="minorHAnsi" w:hAnsiTheme="minorHAnsi" w:cstheme="minorHAnsi"/>
                <w:i/>
                <w:iCs/>
                <w:sz w:val="18"/>
                <w:szCs w:val="18"/>
              </w:rPr>
            </w:pPr>
            <w:r w:rsidRPr="006521B6">
              <w:rPr>
                <w:rFonts w:asciiTheme="minorHAnsi" w:hAnsiTheme="minorHAnsi" w:cstheme="minorHAnsi"/>
                <w:i/>
                <w:iCs/>
                <w:sz w:val="18"/>
                <w:szCs w:val="18"/>
              </w:rPr>
              <w:t>10037</w:t>
            </w:r>
          </w:p>
        </w:tc>
        <w:tc>
          <w:tcPr>
            <w:tcW w:w="2477" w:type="dxa"/>
          </w:tcPr>
          <w:p w14:paraId="766C19E5" w14:textId="77777777" w:rsidR="005353B7" w:rsidRPr="006521B6" w:rsidRDefault="005353B7" w:rsidP="006521B6">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KURTZIO</w:t>
            </w:r>
          </w:p>
        </w:tc>
        <w:tc>
          <w:tcPr>
            <w:tcW w:w="1303" w:type="dxa"/>
          </w:tcPr>
          <w:p w14:paraId="2C2A4F64" w14:textId="77777777" w:rsidR="005353B7" w:rsidRPr="006521B6" w:rsidRDefault="005353B7" w:rsidP="006521B6">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INDIVIDUAL</w:t>
            </w:r>
          </w:p>
        </w:tc>
        <w:tc>
          <w:tcPr>
            <w:tcW w:w="1317" w:type="dxa"/>
          </w:tcPr>
          <w:p w14:paraId="6E348A10" w14:textId="7D52E3E3" w:rsidR="005353B7" w:rsidRPr="006521B6" w:rsidRDefault="001B4CC6" w:rsidP="006521B6">
            <w:pPr>
              <w:pStyle w:val="TableParagraph"/>
              <w:ind w:left="61"/>
              <w:jc w:val="center"/>
              <w:rPr>
                <w:rFonts w:asciiTheme="minorHAnsi" w:hAnsiTheme="minorHAnsi" w:cstheme="minorHAnsi"/>
                <w:i/>
                <w:iCs/>
                <w:sz w:val="18"/>
                <w:szCs w:val="18"/>
              </w:rPr>
            </w:pPr>
            <w:r w:rsidRPr="001B4CC6">
              <w:rPr>
                <w:rFonts w:asciiTheme="minorHAnsi" w:hAnsiTheme="minorHAnsi" w:cstheme="minorHAnsi"/>
                <w:i/>
                <w:iCs/>
                <w:sz w:val="18"/>
                <w:szCs w:val="18"/>
              </w:rPr>
              <w:t>101.701,00</w:t>
            </w:r>
          </w:p>
        </w:tc>
      </w:tr>
      <w:tr w:rsidR="001B4CC6" w:rsidRPr="007D7C23" w14:paraId="2B2B9713" w14:textId="77777777" w:rsidTr="001B4CC6">
        <w:trPr>
          <w:trHeight w:val="329"/>
        </w:trPr>
        <w:tc>
          <w:tcPr>
            <w:tcW w:w="852" w:type="dxa"/>
          </w:tcPr>
          <w:p w14:paraId="75D78C5C" w14:textId="0F5A64A9" w:rsidR="001B4CC6" w:rsidRPr="006521B6" w:rsidRDefault="001B4CC6" w:rsidP="001B4CC6">
            <w:pPr>
              <w:pStyle w:val="TableParagraph"/>
              <w:ind w:left="61"/>
              <w:jc w:val="center"/>
              <w:rPr>
                <w:rFonts w:asciiTheme="minorHAnsi" w:hAnsiTheme="minorHAnsi" w:cstheme="minorHAnsi"/>
                <w:i/>
                <w:iCs/>
                <w:sz w:val="18"/>
                <w:szCs w:val="18"/>
              </w:rPr>
            </w:pPr>
            <w:r w:rsidRPr="006521B6">
              <w:rPr>
                <w:rFonts w:asciiTheme="minorHAnsi" w:hAnsiTheme="minorHAnsi" w:cstheme="minorHAnsi"/>
                <w:i/>
                <w:iCs/>
                <w:sz w:val="18"/>
                <w:szCs w:val="18"/>
              </w:rPr>
              <w:t>100247</w:t>
            </w:r>
          </w:p>
        </w:tc>
        <w:tc>
          <w:tcPr>
            <w:tcW w:w="2477" w:type="dxa"/>
          </w:tcPr>
          <w:p w14:paraId="6930A1BA" w14:textId="19D4721A" w:rsidR="001B4CC6" w:rsidRPr="006521B6" w:rsidRDefault="001B4CC6" w:rsidP="001B4CC6">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MONTERAIOLA</w:t>
            </w:r>
          </w:p>
        </w:tc>
        <w:tc>
          <w:tcPr>
            <w:tcW w:w="1303" w:type="dxa"/>
          </w:tcPr>
          <w:p w14:paraId="09B9439A" w14:textId="3816EB03" w:rsidR="001B4CC6" w:rsidRPr="006521B6" w:rsidRDefault="001B4CC6" w:rsidP="001B4CC6">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INDIVIDUAL</w:t>
            </w:r>
          </w:p>
        </w:tc>
        <w:tc>
          <w:tcPr>
            <w:tcW w:w="1317" w:type="dxa"/>
          </w:tcPr>
          <w:p w14:paraId="2363150F" w14:textId="1C4D8E66" w:rsidR="001B4CC6" w:rsidRPr="006521B6" w:rsidRDefault="001B4CC6" w:rsidP="001B4CC6">
            <w:pPr>
              <w:pStyle w:val="TableParagraph"/>
              <w:ind w:left="61"/>
              <w:jc w:val="center"/>
              <w:rPr>
                <w:rFonts w:asciiTheme="minorHAnsi" w:hAnsiTheme="minorHAnsi" w:cstheme="minorHAnsi"/>
                <w:i/>
                <w:iCs/>
                <w:sz w:val="18"/>
                <w:szCs w:val="18"/>
              </w:rPr>
            </w:pPr>
            <w:r w:rsidRPr="001B4CC6">
              <w:rPr>
                <w:rFonts w:asciiTheme="minorHAnsi" w:hAnsiTheme="minorHAnsi" w:cstheme="minorHAnsi"/>
                <w:i/>
                <w:iCs/>
                <w:sz w:val="18"/>
                <w:szCs w:val="18"/>
              </w:rPr>
              <w:t>121.408,24</w:t>
            </w:r>
          </w:p>
        </w:tc>
      </w:tr>
      <w:tr w:rsidR="001B4CC6" w:rsidRPr="007D7C23" w14:paraId="698BC821" w14:textId="77777777" w:rsidTr="001B4CC6">
        <w:trPr>
          <w:trHeight w:val="329"/>
        </w:trPr>
        <w:tc>
          <w:tcPr>
            <w:tcW w:w="852" w:type="dxa"/>
          </w:tcPr>
          <w:p w14:paraId="7FBAF578" w14:textId="77777777" w:rsidR="001B4CC6" w:rsidRPr="006521B6" w:rsidRDefault="001B4CC6" w:rsidP="001B4CC6">
            <w:pPr>
              <w:pStyle w:val="TableParagraph"/>
              <w:ind w:left="61"/>
              <w:jc w:val="center"/>
              <w:rPr>
                <w:rFonts w:asciiTheme="minorHAnsi" w:hAnsiTheme="minorHAnsi" w:cstheme="minorHAnsi"/>
                <w:i/>
                <w:iCs/>
                <w:sz w:val="18"/>
                <w:szCs w:val="18"/>
              </w:rPr>
            </w:pPr>
            <w:r w:rsidRPr="006521B6">
              <w:rPr>
                <w:rFonts w:asciiTheme="minorHAnsi" w:hAnsiTheme="minorHAnsi" w:cstheme="minorHAnsi"/>
                <w:i/>
                <w:iCs/>
                <w:sz w:val="18"/>
                <w:szCs w:val="18"/>
              </w:rPr>
              <w:t>22165</w:t>
            </w:r>
          </w:p>
        </w:tc>
        <w:tc>
          <w:tcPr>
            <w:tcW w:w="2477" w:type="dxa"/>
          </w:tcPr>
          <w:p w14:paraId="426803B1" w14:textId="77777777" w:rsidR="001B4CC6" w:rsidRPr="006521B6" w:rsidRDefault="001B4CC6" w:rsidP="001B4CC6">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PLAYA DE BAKIO</w:t>
            </w:r>
          </w:p>
        </w:tc>
        <w:tc>
          <w:tcPr>
            <w:tcW w:w="1303" w:type="dxa"/>
          </w:tcPr>
          <w:p w14:paraId="2B6263F6" w14:textId="77777777" w:rsidR="001B4CC6" w:rsidRPr="006521B6" w:rsidRDefault="001B4CC6" w:rsidP="001B4CC6">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INDIVIDUAL</w:t>
            </w:r>
          </w:p>
        </w:tc>
        <w:tc>
          <w:tcPr>
            <w:tcW w:w="1317" w:type="dxa"/>
          </w:tcPr>
          <w:p w14:paraId="78A192DB" w14:textId="5261AE45" w:rsidR="001B4CC6" w:rsidRPr="006521B6" w:rsidRDefault="001B4CC6" w:rsidP="001B4CC6">
            <w:pPr>
              <w:pStyle w:val="TableParagraph"/>
              <w:ind w:left="61"/>
              <w:jc w:val="center"/>
              <w:rPr>
                <w:rFonts w:asciiTheme="minorHAnsi" w:hAnsiTheme="minorHAnsi" w:cstheme="minorHAnsi"/>
                <w:i/>
                <w:iCs/>
                <w:sz w:val="18"/>
                <w:szCs w:val="18"/>
              </w:rPr>
            </w:pPr>
            <w:r w:rsidRPr="001B4CC6">
              <w:rPr>
                <w:rFonts w:asciiTheme="minorHAnsi" w:hAnsiTheme="minorHAnsi" w:cstheme="minorHAnsi"/>
                <w:i/>
                <w:iCs/>
                <w:sz w:val="18"/>
                <w:szCs w:val="18"/>
              </w:rPr>
              <w:t>33.645,01</w:t>
            </w:r>
          </w:p>
        </w:tc>
      </w:tr>
      <w:tr w:rsidR="001B4CC6" w:rsidRPr="007D7C23" w14:paraId="7A0EC8DB" w14:textId="77777777" w:rsidTr="001B4CC6">
        <w:trPr>
          <w:trHeight w:val="329"/>
        </w:trPr>
        <w:tc>
          <w:tcPr>
            <w:tcW w:w="852" w:type="dxa"/>
          </w:tcPr>
          <w:p w14:paraId="1386825E" w14:textId="5D7532C4" w:rsidR="001B4CC6" w:rsidRPr="006521B6" w:rsidRDefault="001B4CC6" w:rsidP="001B4CC6">
            <w:pPr>
              <w:pStyle w:val="TableParagraph"/>
              <w:ind w:left="61"/>
              <w:jc w:val="center"/>
              <w:rPr>
                <w:rFonts w:asciiTheme="minorHAnsi" w:hAnsiTheme="minorHAnsi" w:cstheme="minorHAnsi"/>
                <w:i/>
                <w:iCs/>
                <w:sz w:val="18"/>
                <w:szCs w:val="18"/>
              </w:rPr>
            </w:pPr>
            <w:r w:rsidRPr="001B4CC6">
              <w:rPr>
                <w:rFonts w:asciiTheme="minorHAnsi" w:hAnsiTheme="minorHAnsi" w:cstheme="minorHAnsi"/>
                <w:i/>
                <w:iCs/>
                <w:sz w:val="18"/>
                <w:szCs w:val="18"/>
              </w:rPr>
              <w:t>27578</w:t>
            </w:r>
          </w:p>
        </w:tc>
        <w:tc>
          <w:tcPr>
            <w:tcW w:w="2477" w:type="dxa"/>
          </w:tcPr>
          <w:p w14:paraId="2A4401D4" w14:textId="7BBE3FC2" w:rsidR="001B4CC6" w:rsidRPr="006521B6" w:rsidRDefault="001B4CC6" w:rsidP="001B4CC6">
            <w:pPr>
              <w:pStyle w:val="TableParagraph"/>
              <w:ind w:left="61"/>
              <w:rPr>
                <w:rFonts w:asciiTheme="minorHAnsi" w:hAnsiTheme="minorHAnsi" w:cstheme="minorHAnsi"/>
                <w:i/>
                <w:iCs/>
                <w:sz w:val="18"/>
                <w:szCs w:val="18"/>
              </w:rPr>
            </w:pPr>
            <w:r>
              <w:rPr>
                <w:rFonts w:asciiTheme="minorHAnsi" w:hAnsiTheme="minorHAnsi" w:cstheme="minorHAnsi"/>
                <w:i/>
                <w:iCs/>
                <w:sz w:val="18"/>
                <w:szCs w:val="18"/>
              </w:rPr>
              <w:t>PLAYA DE RIS</w:t>
            </w:r>
          </w:p>
        </w:tc>
        <w:tc>
          <w:tcPr>
            <w:tcW w:w="1303" w:type="dxa"/>
          </w:tcPr>
          <w:p w14:paraId="0E06E5E7" w14:textId="544339DF" w:rsidR="001B4CC6" w:rsidRPr="006521B6" w:rsidRDefault="001B4CC6" w:rsidP="001B4CC6">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INDIVIDUAL</w:t>
            </w:r>
          </w:p>
        </w:tc>
        <w:tc>
          <w:tcPr>
            <w:tcW w:w="1317" w:type="dxa"/>
          </w:tcPr>
          <w:p w14:paraId="39AE9820" w14:textId="29A171DD" w:rsidR="001B4CC6" w:rsidRPr="001B4CC6" w:rsidRDefault="001B4CC6" w:rsidP="001B4CC6">
            <w:pPr>
              <w:pStyle w:val="TableParagraph"/>
              <w:ind w:left="61"/>
              <w:jc w:val="center"/>
              <w:rPr>
                <w:rFonts w:asciiTheme="minorHAnsi" w:hAnsiTheme="minorHAnsi" w:cstheme="minorHAnsi"/>
                <w:i/>
                <w:iCs/>
                <w:sz w:val="18"/>
                <w:szCs w:val="18"/>
              </w:rPr>
            </w:pPr>
            <w:r w:rsidRPr="001B4CC6">
              <w:rPr>
                <w:rFonts w:asciiTheme="minorHAnsi" w:hAnsiTheme="minorHAnsi" w:cstheme="minorHAnsi"/>
                <w:i/>
                <w:iCs/>
                <w:sz w:val="18"/>
                <w:szCs w:val="18"/>
              </w:rPr>
              <w:t>92.501,47</w:t>
            </w:r>
          </w:p>
        </w:tc>
      </w:tr>
      <w:tr w:rsidR="001B4CC6" w:rsidRPr="007D7C23" w14:paraId="42AB6CA6" w14:textId="77777777" w:rsidTr="001B4CC6">
        <w:tblPrEx>
          <w:tblCellMar>
            <w:left w:w="70" w:type="dxa"/>
            <w:right w:w="70" w:type="dxa"/>
          </w:tblCellMar>
        </w:tblPrEx>
        <w:trPr>
          <w:trHeight w:val="329"/>
        </w:trPr>
        <w:tc>
          <w:tcPr>
            <w:tcW w:w="852" w:type="dxa"/>
          </w:tcPr>
          <w:p w14:paraId="7E88488A" w14:textId="77777777" w:rsidR="001B4CC6" w:rsidRPr="006521B6" w:rsidRDefault="001B4CC6" w:rsidP="001B4CC6">
            <w:pPr>
              <w:pStyle w:val="TableParagraph"/>
              <w:ind w:left="61"/>
              <w:jc w:val="center"/>
              <w:rPr>
                <w:rFonts w:asciiTheme="minorHAnsi" w:hAnsiTheme="minorHAnsi" w:cstheme="minorHAnsi"/>
                <w:i/>
                <w:iCs/>
                <w:sz w:val="18"/>
                <w:szCs w:val="18"/>
              </w:rPr>
            </w:pPr>
            <w:r w:rsidRPr="006521B6">
              <w:rPr>
                <w:rFonts w:asciiTheme="minorHAnsi" w:hAnsiTheme="minorHAnsi" w:cstheme="minorHAnsi"/>
                <w:i/>
                <w:iCs/>
                <w:sz w:val="18"/>
                <w:szCs w:val="18"/>
              </w:rPr>
              <w:t>12216-13829</w:t>
            </w:r>
          </w:p>
        </w:tc>
        <w:tc>
          <w:tcPr>
            <w:tcW w:w="2477" w:type="dxa"/>
          </w:tcPr>
          <w:p w14:paraId="4D53DB5B" w14:textId="77777777" w:rsidR="001B4CC6" w:rsidRPr="006521B6" w:rsidRDefault="001B4CC6" w:rsidP="00DE59B4">
            <w:pPr>
              <w:pStyle w:val="TableParagraph"/>
              <w:rPr>
                <w:rFonts w:asciiTheme="minorHAnsi" w:hAnsiTheme="minorHAnsi" w:cstheme="minorHAnsi"/>
                <w:i/>
                <w:iCs/>
                <w:sz w:val="18"/>
                <w:szCs w:val="18"/>
                <w:lang w:val="es-ES"/>
              </w:rPr>
            </w:pPr>
            <w:r w:rsidRPr="006521B6">
              <w:rPr>
                <w:rFonts w:asciiTheme="minorHAnsi" w:hAnsiTheme="minorHAnsi" w:cstheme="minorHAnsi"/>
                <w:i/>
                <w:iCs/>
                <w:sz w:val="18"/>
                <w:szCs w:val="18"/>
                <w:lang w:val="es-ES"/>
              </w:rPr>
              <w:t>ALBACORA QUINCE-MAR DE SERGIO</w:t>
            </w:r>
          </w:p>
        </w:tc>
        <w:tc>
          <w:tcPr>
            <w:tcW w:w="1303" w:type="dxa"/>
          </w:tcPr>
          <w:p w14:paraId="25130A67" w14:textId="77777777" w:rsidR="001B4CC6" w:rsidRPr="006521B6" w:rsidRDefault="001B4CC6" w:rsidP="001B4CC6">
            <w:pPr>
              <w:pStyle w:val="TableParagraph"/>
              <w:rPr>
                <w:rFonts w:asciiTheme="minorHAnsi" w:hAnsiTheme="minorHAnsi" w:cstheme="minorHAnsi"/>
                <w:i/>
                <w:iCs/>
                <w:sz w:val="18"/>
                <w:szCs w:val="18"/>
              </w:rPr>
            </w:pPr>
            <w:r w:rsidRPr="006521B6">
              <w:rPr>
                <w:rFonts w:asciiTheme="minorHAnsi" w:hAnsiTheme="minorHAnsi" w:cstheme="minorHAnsi"/>
                <w:i/>
                <w:iCs/>
                <w:sz w:val="18"/>
                <w:szCs w:val="18"/>
              </w:rPr>
              <w:t>CONJUNTA</w:t>
            </w:r>
          </w:p>
        </w:tc>
        <w:tc>
          <w:tcPr>
            <w:tcW w:w="1317" w:type="dxa"/>
          </w:tcPr>
          <w:p w14:paraId="6682CAD0" w14:textId="646F7047" w:rsidR="001B4CC6" w:rsidRPr="006521B6" w:rsidRDefault="001B4CC6" w:rsidP="001B4CC6">
            <w:pPr>
              <w:pStyle w:val="TableParagraph"/>
              <w:ind w:left="61"/>
              <w:jc w:val="center"/>
              <w:rPr>
                <w:rFonts w:asciiTheme="minorHAnsi" w:hAnsiTheme="minorHAnsi" w:cstheme="minorHAnsi"/>
                <w:i/>
                <w:iCs/>
                <w:sz w:val="18"/>
                <w:szCs w:val="18"/>
              </w:rPr>
            </w:pPr>
            <w:r w:rsidRPr="001B4CC6">
              <w:rPr>
                <w:rFonts w:asciiTheme="minorHAnsi" w:hAnsiTheme="minorHAnsi" w:cstheme="minorHAnsi"/>
                <w:i/>
                <w:iCs/>
                <w:sz w:val="18"/>
                <w:szCs w:val="18"/>
              </w:rPr>
              <w:t>51.067,00</w:t>
            </w:r>
          </w:p>
        </w:tc>
      </w:tr>
    </w:tbl>
    <w:p w14:paraId="2F84083B" w14:textId="731430D7" w:rsidR="005353B7" w:rsidRPr="006521B6" w:rsidRDefault="005353B7" w:rsidP="00A916C2">
      <w:pPr>
        <w:rPr>
          <w:rFonts w:cstheme="minorHAnsi"/>
          <w:b/>
          <w:i/>
          <w:iCs/>
          <w:sz w:val="20"/>
          <w:highlight w:val="cyan"/>
        </w:rPr>
      </w:pPr>
      <w:r w:rsidRPr="006521B6">
        <w:rPr>
          <w:rFonts w:cstheme="minorHAnsi"/>
          <w:b/>
          <w:i/>
          <w:iCs/>
          <w:sz w:val="20"/>
          <w:highlight w:val="cyan"/>
        </w:rPr>
        <w:br w:type="page"/>
      </w:r>
      <w:r w:rsidRPr="000253B0">
        <w:rPr>
          <w:rFonts w:cstheme="minorHAnsi"/>
          <w:b/>
          <w:i/>
          <w:iCs/>
          <w:sz w:val="20"/>
        </w:rPr>
        <w:lastRenderedPageBreak/>
        <w:t xml:space="preserve">Kilogramos de </w:t>
      </w:r>
      <w:proofErr w:type="gramStart"/>
      <w:r w:rsidRPr="000253B0">
        <w:rPr>
          <w:rFonts w:cstheme="minorHAnsi"/>
          <w:b/>
          <w:i/>
          <w:iCs/>
          <w:sz w:val="20"/>
        </w:rPr>
        <w:t xml:space="preserve">patudo </w:t>
      </w:r>
      <w:r>
        <w:rPr>
          <w:rFonts w:cstheme="minorHAnsi"/>
          <w:b/>
          <w:i/>
          <w:iCs/>
          <w:sz w:val="20"/>
        </w:rPr>
        <w:t>sobrantes</w:t>
      </w:r>
      <w:proofErr w:type="gramEnd"/>
      <w:r>
        <w:rPr>
          <w:rFonts w:cstheme="minorHAnsi"/>
          <w:b/>
          <w:i/>
          <w:iCs/>
          <w:sz w:val="20"/>
        </w:rPr>
        <w:t xml:space="preserve"> de los buques de </w:t>
      </w:r>
      <w:r w:rsidRPr="000253B0">
        <w:rPr>
          <w:rFonts w:cstheme="minorHAnsi"/>
          <w:b/>
          <w:i/>
          <w:iCs/>
          <w:sz w:val="20"/>
        </w:rPr>
        <w:t xml:space="preserve">la Lista </w:t>
      </w:r>
      <w:r w:rsidRPr="006521B6">
        <w:rPr>
          <w:rFonts w:cstheme="minorHAnsi"/>
          <w:b/>
          <w:i/>
          <w:iCs/>
          <w:sz w:val="20"/>
        </w:rPr>
        <w:t>c) atuneros cañeros en aguas africanas</w:t>
      </w:r>
    </w:p>
    <w:p w14:paraId="773C8A95" w14:textId="77777777" w:rsidR="005353B7" w:rsidRPr="006521B6" w:rsidRDefault="005353B7" w:rsidP="005353B7">
      <w:pPr>
        <w:pStyle w:val="Textoindependiente"/>
        <w:spacing w:before="2"/>
        <w:rPr>
          <w:rFonts w:asciiTheme="minorHAnsi" w:hAnsiTheme="minorHAnsi" w:cstheme="minorHAnsi"/>
          <w:b/>
          <w:i/>
          <w:iCs/>
          <w:sz w:val="16"/>
          <w:highlight w:val="cyan"/>
        </w:rPr>
      </w:pPr>
    </w:p>
    <w:tbl>
      <w:tblPr>
        <w:tblStyle w:val="TableNormal"/>
        <w:tblW w:w="0" w:type="auto"/>
        <w:jc w:val="cente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850"/>
        <w:gridCol w:w="1980"/>
        <w:gridCol w:w="1276"/>
        <w:gridCol w:w="1418"/>
      </w:tblGrid>
      <w:tr w:rsidR="005353B7" w:rsidRPr="007D7C23" w14:paraId="3B74AEBE" w14:textId="77777777" w:rsidTr="006521B6">
        <w:trPr>
          <w:trHeight w:val="554"/>
          <w:jc w:val="center"/>
        </w:trPr>
        <w:tc>
          <w:tcPr>
            <w:tcW w:w="850" w:type="dxa"/>
            <w:shd w:val="clear" w:color="auto" w:fill="EDEDED"/>
          </w:tcPr>
          <w:p w14:paraId="689D7D72" w14:textId="77777777" w:rsidR="005353B7" w:rsidRPr="006521B6" w:rsidRDefault="005353B7" w:rsidP="006521B6">
            <w:pPr>
              <w:pStyle w:val="TableParagraph"/>
              <w:spacing w:before="9"/>
              <w:rPr>
                <w:rFonts w:asciiTheme="minorHAnsi" w:hAnsiTheme="minorHAnsi" w:cstheme="minorHAnsi"/>
                <w:b/>
                <w:i/>
                <w:iCs/>
                <w:sz w:val="15"/>
                <w:lang w:val="es-ES"/>
              </w:rPr>
            </w:pPr>
          </w:p>
          <w:p w14:paraId="7CE28069" w14:textId="77777777" w:rsidR="005353B7" w:rsidRPr="006521B6" w:rsidRDefault="005353B7" w:rsidP="006521B6">
            <w:pPr>
              <w:pStyle w:val="TableParagraph"/>
              <w:spacing w:before="1"/>
              <w:ind w:left="41" w:right="31"/>
              <w:jc w:val="center"/>
              <w:rPr>
                <w:rFonts w:asciiTheme="minorHAnsi" w:hAnsiTheme="minorHAnsi" w:cstheme="minorHAnsi"/>
                <w:b/>
                <w:i/>
                <w:iCs/>
                <w:sz w:val="16"/>
              </w:rPr>
            </w:pPr>
            <w:r w:rsidRPr="006521B6">
              <w:rPr>
                <w:rFonts w:asciiTheme="minorHAnsi" w:hAnsiTheme="minorHAnsi" w:cstheme="minorHAnsi"/>
                <w:b/>
                <w:i/>
                <w:iCs/>
                <w:sz w:val="16"/>
              </w:rPr>
              <w:t>Código</w:t>
            </w:r>
          </w:p>
        </w:tc>
        <w:tc>
          <w:tcPr>
            <w:tcW w:w="1980" w:type="dxa"/>
            <w:shd w:val="clear" w:color="auto" w:fill="EDEDED"/>
          </w:tcPr>
          <w:p w14:paraId="186541F8" w14:textId="77777777" w:rsidR="005353B7" w:rsidRPr="006521B6" w:rsidRDefault="005353B7" w:rsidP="006521B6">
            <w:pPr>
              <w:pStyle w:val="TableParagraph"/>
              <w:spacing w:before="9"/>
              <w:rPr>
                <w:rFonts w:asciiTheme="minorHAnsi" w:hAnsiTheme="minorHAnsi" w:cstheme="minorHAnsi"/>
                <w:b/>
                <w:i/>
                <w:iCs/>
                <w:sz w:val="15"/>
              </w:rPr>
            </w:pPr>
          </w:p>
          <w:p w14:paraId="7FA08A73" w14:textId="77777777" w:rsidR="005353B7" w:rsidRPr="006521B6" w:rsidRDefault="005353B7" w:rsidP="006521B6">
            <w:pPr>
              <w:pStyle w:val="TableParagraph"/>
              <w:spacing w:before="1"/>
              <w:jc w:val="center"/>
              <w:rPr>
                <w:rFonts w:asciiTheme="minorHAnsi" w:hAnsiTheme="minorHAnsi" w:cstheme="minorHAnsi"/>
                <w:b/>
                <w:i/>
                <w:iCs/>
                <w:sz w:val="16"/>
              </w:rPr>
            </w:pPr>
            <w:r w:rsidRPr="006521B6">
              <w:rPr>
                <w:rFonts w:asciiTheme="minorHAnsi" w:hAnsiTheme="minorHAnsi" w:cstheme="minorHAnsi"/>
                <w:b/>
                <w:i/>
                <w:iCs/>
                <w:sz w:val="16"/>
              </w:rPr>
              <w:t xml:space="preserve">Nombre del </w:t>
            </w:r>
            <w:proofErr w:type="spellStart"/>
            <w:r w:rsidRPr="006521B6">
              <w:rPr>
                <w:rFonts w:asciiTheme="minorHAnsi" w:hAnsiTheme="minorHAnsi" w:cstheme="minorHAnsi"/>
                <w:b/>
                <w:i/>
                <w:iCs/>
                <w:sz w:val="16"/>
              </w:rPr>
              <w:t>barco</w:t>
            </w:r>
            <w:proofErr w:type="spellEnd"/>
          </w:p>
        </w:tc>
        <w:tc>
          <w:tcPr>
            <w:tcW w:w="1276" w:type="dxa"/>
            <w:shd w:val="clear" w:color="auto" w:fill="EDEDED"/>
          </w:tcPr>
          <w:p w14:paraId="4CEC694B" w14:textId="77777777" w:rsidR="005353B7" w:rsidRPr="006521B6" w:rsidRDefault="005353B7" w:rsidP="006521B6">
            <w:pPr>
              <w:pStyle w:val="TableParagraph"/>
              <w:spacing w:before="9"/>
              <w:rPr>
                <w:rFonts w:asciiTheme="minorHAnsi" w:hAnsiTheme="minorHAnsi" w:cstheme="minorHAnsi"/>
                <w:b/>
                <w:i/>
                <w:iCs/>
                <w:sz w:val="15"/>
              </w:rPr>
            </w:pPr>
          </w:p>
          <w:p w14:paraId="2490447B" w14:textId="77777777" w:rsidR="005353B7" w:rsidRPr="006521B6" w:rsidRDefault="005353B7" w:rsidP="006521B6">
            <w:pPr>
              <w:pStyle w:val="TableParagraph"/>
              <w:spacing w:before="1"/>
              <w:ind w:left="40" w:right="29"/>
              <w:jc w:val="center"/>
              <w:rPr>
                <w:rFonts w:asciiTheme="minorHAnsi" w:hAnsiTheme="minorHAnsi" w:cstheme="minorHAnsi"/>
                <w:b/>
                <w:i/>
                <w:iCs/>
                <w:sz w:val="16"/>
              </w:rPr>
            </w:pPr>
            <w:r w:rsidRPr="006521B6">
              <w:rPr>
                <w:rFonts w:asciiTheme="minorHAnsi" w:hAnsiTheme="minorHAnsi" w:cstheme="minorHAnsi"/>
                <w:b/>
                <w:i/>
                <w:iCs/>
                <w:sz w:val="16"/>
              </w:rPr>
              <w:t>Tipo de gestion</w:t>
            </w:r>
          </w:p>
        </w:tc>
        <w:tc>
          <w:tcPr>
            <w:tcW w:w="1418" w:type="dxa"/>
            <w:shd w:val="clear" w:color="auto" w:fill="EDEDED"/>
          </w:tcPr>
          <w:p w14:paraId="4D9FDB2E" w14:textId="77777777" w:rsidR="005353B7" w:rsidRDefault="005353B7" w:rsidP="006521B6">
            <w:pPr>
              <w:pStyle w:val="TableParagraph"/>
              <w:spacing w:before="1"/>
              <w:jc w:val="center"/>
              <w:rPr>
                <w:rFonts w:asciiTheme="minorHAnsi" w:hAnsiTheme="minorHAnsi" w:cstheme="minorHAnsi"/>
                <w:b/>
                <w:i/>
                <w:iCs/>
                <w:sz w:val="16"/>
              </w:rPr>
            </w:pPr>
            <w:r w:rsidRPr="006521B6">
              <w:rPr>
                <w:rFonts w:asciiTheme="minorHAnsi" w:hAnsiTheme="minorHAnsi" w:cstheme="minorHAnsi"/>
                <w:b/>
                <w:i/>
                <w:iCs/>
                <w:sz w:val="16"/>
              </w:rPr>
              <w:t xml:space="preserve">   </w:t>
            </w:r>
          </w:p>
          <w:p w14:paraId="08A84BE8" w14:textId="77777777" w:rsidR="005353B7" w:rsidRPr="006521B6" w:rsidRDefault="005353B7" w:rsidP="006521B6">
            <w:pPr>
              <w:pStyle w:val="TableParagraph"/>
              <w:spacing w:before="1"/>
              <w:jc w:val="center"/>
              <w:rPr>
                <w:rFonts w:asciiTheme="minorHAnsi" w:hAnsiTheme="minorHAnsi" w:cstheme="minorHAnsi"/>
                <w:b/>
                <w:i/>
                <w:iCs/>
                <w:sz w:val="16"/>
              </w:rPr>
            </w:pPr>
            <w:r w:rsidRPr="006521B6">
              <w:rPr>
                <w:rFonts w:asciiTheme="minorHAnsi" w:hAnsiTheme="minorHAnsi" w:cstheme="minorHAnsi"/>
                <w:b/>
                <w:i/>
                <w:iCs/>
                <w:sz w:val="16"/>
              </w:rPr>
              <w:t>Sobrante (kg)</w:t>
            </w:r>
          </w:p>
        </w:tc>
      </w:tr>
      <w:tr w:rsidR="005353B7" w:rsidRPr="007D7C23" w14:paraId="57B632C0" w14:textId="77777777" w:rsidTr="006521B6">
        <w:trPr>
          <w:trHeight w:val="361"/>
          <w:jc w:val="center"/>
        </w:trPr>
        <w:tc>
          <w:tcPr>
            <w:tcW w:w="850" w:type="dxa"/>
          </w:tcPr>
          <w:p w14:paraId="67D430A9" w14:textId="77777777" w:rsidR="005353B7" w:rsidRPr="006521B6" w:rsidRDefault="005353B7" w:rsidP="006521B6">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25891</w:t>
            </w:r>
          </w:p>
        </w:tc>
        <w:tc>
          <w:tcPr>
            <w:tcW w:w="1980" w:type="dxa"/>
          </w:tcPr>
          <w:p w14:paraId="525BC28C" w14:textId="77777777" w:rsidR="005353B7" w:rsidRPr="006521B6" w:rsidRDefault="005353B7" w:rsidP="006521B6">
            <w:pPr>
              <w:pStyle w:val="TableParagraph"/>
              <w:spacing w:line="249" w:lineRule="auto"/>
              <w:ind w:left="61"/>
              <w:rPr>
                <w:rFonts w:asciiTheme="minorHAnsi" w:hAnsiTheme="minorHAnsi" w:cstheme="minorHAnsi"/>
                <w:i/>
                <w:iCs/>
                <w:sz w:val="18"/>
                <w:szCs w:val="18"/>
              </w:rPr>
            </w:pPr>
            <w:r w:rsidRPr="006521B6">
              <w:rPr>
                <w:rFonts w:asciiTheme="minorHAnsi" w:hAnsiTheme="minorHAnsi" w:cstheme="minorHAnsi"/>
                <w:i/>
                <w:iCs/>
                <w:sz w:val="18"/>
                <w:szCs w:val="18"/>
              </w:rPr>
              <w:t>BERRIZ SAN FRANCISCO</w:t>
            </w:r>
          </w:p>
        </w:tc>
        <w:tc>
          <w:tcPr>
            <w:tcW w:w="1276" w:type="dxa"/>
          </w:tcPr>
          <w:p w14:paraId="25435811" w14:textId="77777777" w:rsidR="005353B7" w:rsidRPr="006521B6" w:rsidRDefault="005353B7" w:rsidP="006521B6">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INDIVIDUAL</w:t>
            </w:r>
          </w:p>
        </w:tc>
        <w:tc>
          <w:tcPr>
            <w:tcW w:w="1418" w:type="dxa"/>
          </w:tcPr>
          <w:p w14:paraId="23964A89" w14:textId="3174F171" w:rsidR="005353B7" w:rsidRPr="006521B6" w:rsidRDefault="00003532" w:rsidP="006521B6">
            <w:pPr>
              <w:pStyle w:val="TableParagraph"/>
              <w:ind w:left="61"/>
              <w:jc w:val="center"/>
              <w:rPr>
                <w:rFonts w:asciiTheme="minorHAnsi" w:hAnsiTheme="minorHAnsi" w:cstheme="minorHAnsi"/>
                <w:i/>
                <w:iCs/>
                <w:sz w:val="18"/>
                <w:szCs w:val="18"/>
              </w:rPr>
            </w:pPr>
            <w:r w:rsidRPr="00003532">
              <w:rPr>
                <w:rFonts w:asciiTheme="minorHAnsi" w:hAnsiTheme="minorHAnsi" w:cstheme="minorHAnsi"/>
                <w:i/>
                <w:iCs/>
                <w:sz w:val="18"/>
                <w:szCs w:val="18"/>
              </w:rPr>
              <w:t>38.913,80</w:t>
            </w:r>
          </w:p>
        </w:tc>
      </w:tr>
      <w:tr w:rsidR="00003532" w:rsidRPr="007D7C23" w14:paraId="58E64E7A" w14:textId="77777777" w:rsidTr="006521B6">
        <w:trPr>
          <w:trHeight w:val="329"/>
          <w:jc w:val="center"/>
        </w:trPr>
        <w:tc>
          <w:tcPr>
            <w:tcW w:w="850" w:type="dxa"/>
          </w:tcPr>
          <w:p w14:paraId="03C5C672" w14:textId="77777777" w:rsidR="00003532" w:rsidRPr="006521B6" w:rsidRDefault="00003532" w:rsidP="00003532">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23452</w:t>
            </w:r>
          </w:p>
        </w:tc>
        <w:tc>
          <w:tcPr>
            <w:tcW w:w="1980" w:type="dxa"/>
          </w:tcPr>
          <w:p w14:paraId="555ABCF5" w14:textId="77777777" w:rsidR="00003532" w:rsidRPr="006521B6" w:rsidRDefault="00003532" w:rsidP="00003532">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IRIBAR ZULAIKA</w:t>
            </w:r>
          </w:p>
        </w:tc>
        <w:tc>
          <w:tcPr>
            <w:tcW w:w="1276" w:type="dxa"/>
          </w:tcPr>
          <w:p w14:paraId="150FF007" w14:textId="77777777" w:rsidR="00003532" w:rsidRPr="006521B6" w:rsidRDefault="00003532" w:rsidP="00003532">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INDIVIDUAL</w:t>
            </w:r>
          </w:p>
        </w:tc>
        <w:tc>
          <w:tcPr>
            <w:tcW w:w="1418" w:type="dxa"/>
          </w:tcPr>
          <w:p w14:paraId="1F77FB09" w14:textId="5D8C9D3F" w:rsidR="00003532" w:rsidRPr="006521B6" w:rsidRDefault="00003532" w:rsidP="00003532">
            <w:pPr>
              <w:pStyle w:val="TableParagraph"/>
              <w:jc w:val="center"/>
              <w:rPr>
                <w:rFonts w:asciiTheme="minorHAnsi" w:hAnsiTheme="minorHAnsi" w:cstheme="minorHAnsi"/>
                <w:i/>
                <w:iCs/>
                <w:sz w:val="18"/>
                <w:szCs w:val="18"/>
              </w:rPr>
            </w:pPr>
            <w:r w:rsidRPr="00003532">
              <w:rPr>
                <w:rFonts w:asciiTheme="minorHAnsi" w:hAnsiTheme="minorHAnsi" w:cstheme="minorHAnsi"/>
                <w:i/>
                <w:iCs/>
                <w:sz w:val="18"/>
                <w:szCs w:val="18"/>
              </w:rPr>
              <w:t xml:space="preserve">42.016,91 </w:t>
            </w:r>
          </w:p>
        </w:tc>
      </w:tr>
      <w:tr w:rsidR="00003532" w:rsidRPr="007D7C23" w14:paraId="0D10DF71" w14:textId="77777777" w:rsidTr="006521B6">
        <w:trPr>
          <w:trHeight w:val="329"/>
          <w:jc w:val="center"/>
        </w:trPr>
        <w:tc>
          <w:tcPr>
            <w:tcW w:w="850" w:type="dxa"/>
          </w:tcPr>
          <w:p w14:paraId="165D7FBB" w14:textId="77777777" w:rsidR="00003532" w:rsidRPr="006521B6" w:rsidRDefault="00003532" w:rsidP="00003532">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24677</w:t>
            </w:r>
          </w:p>
        </w:tc>
        <w:tc>
          <w:tcPr>
            <w:tcW w:w="1980" w:type="dxa"/>
          </w:tcPr>
          <w:p w14:paraId="1BF9E182" w14:textId="77777777" w:rsidR="00003532" w:rsidRPr="006521B6" w:rsidRDefault="00003532" w:rsidP="00003532">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KERMANTXO</w:t>
            </w:r>
          </w:p>
        </w:tc>
        <w:tc>
          <w:tcPr>
            <w:tcW w:w="1276" w:type="dxa"/>
          </w:tcPr>
          <w:p w14:paraId="5C4CF105" w14:textId="77777777" w:rsidR="00003532" w:rsidRPr="006521B6" w:rsidRDefault="00003532" w:rsidP="00003532">
            <w:pPr>
              <w:pStyle w:val="TableParagraph"/>
              <w:ind w:left="61"/>
              <w:rPr>
                <w:rFonts w:asciiTheme="minorHAnsi" w:hAnsiTheme="minorHAnsi" w:cstheme="minorHAnsi"/>
                <w:i/>
                <w:iCs/>
                <w:sz w:val="18"/>
                <w:szCs w:val="18"/>
              </w:rPr>
            </w:pPr>
            <w:r w:rsidRPr="006521B6">
              <w:rPr>
                <w:rFonts w:asciiTheme="minorHAnsi" w:hAnsiTheme="minorHAnsi" w:cstheme="minorHAnsi"/>
                <w:i/>
                <w:iCs/>
                <w:sz w:val="18"/>
                <w:szCs w:val="18"/>
              </w:rPr>
              <w:t>INDIVIDUAL</w:t>
            </w:r>
          </w:p>
        </w:tc>
        <w:tc>
          <w:tcPr>
            <w:tcW w:w="1418" w:type="dxa"/>
          </w:tcPr>
          <w:p w14:paraId="0EC740E2" w14:textId="7679591E" w:rsidR="00003532" w:rsidRPr="006521B6" w:rsidRDefault="00003532" w:rsidP="00003532">
            <w:pPr>
              <w:pStyle w:val="TableParagraph"/>
              <w:jc w:val="center"/>
              <w:rPr>
                <w:rFonts w:asciiTheme="minorHAnsi" w:hAnsiTheme="minorHAnsi" w:cstheme="minorHAnsi"/>
                <w:i/>
                <w:iCs/>
                <w:sz w:val="18"/>
                <w:szCs w:val="18"/>
              </w:rPr>
            </w:pPr>
            <w:r w:rsidRPr="00003532">
              <w:rPr>
                <w:rFonts w:asciiTheme="minorHAnsi" w:hAnsiTheme="minorHAnsi" w:cstheme="minorHAnsi"/>
                <w:i/>
                <w:iCs/>
                <w:sz w:val="18"/>
                <w:szCs w:val="18"/>
              </w:rPr>
              <w:t xml:space="preserve">51.522,00 </w:t>
            </w:r>
          </w:p>
        </w:tc>
      </w:tr>
      <w:tr w:rsidR="00003532" w:rsidRPr="007D7C23" w14:paraId="2857E496" w14:textId="77777777" w:rsidTr="006521B6">
        <w:tblPrEx>
          <w:tblCellMar>
            <w:left w:w="70" w:type="dxa"/>
            <w:right w:w="70" w:type="dxa"/>
          </w:tblCellMar>
        </w:tblPrEx>
        <w:trPr>
          <w:trHeight w:val="329"/>
          <w:jc w:val="center"/>
        </w:trPr>
        <w:tc>
          <w:tcPr>
            <w:tcW w:w="850" w:type="dxa"/>
          </w:tcPr>
          <w:p w14:paraId="5B58B483" w14:textId="77777777" w:rsidR="00003532" w:rsidRPr="006521B6" w:rsidRDefault="00003532" w:rsidP="00003532">
            <w:pPr>
              <w:pStyle w:val="TableParagraph"/>
              <w:rPr>
                <w:rFonts w:asciiTheme="minorHAnsi" w:hAnsiTheme="minorHAnsi" w:cstheme="minorHAnsi"/>
                <w:i/>
                <w:iCs/>
                <w:sz w:val="18"/>
                <w:szCs w:val="18"/>
              </w:rPr>
            </w:pPr>
            <w:r w:rsidRPr="006521B6">
              <w:rPr>
                <w:rFonts w:asciiTheme="minorHAnsi" w:hAnsiTheme="minorHAnsi" w:cstheme="minorHAnsi"/>
                <w:i/>
                <w:iCs/>
                <w:sz w:val="18"/>
                <w:szCs w:val="18"/>
              </w:rPr>
              <w:t>23295</w:t>
            </w:r>
          </w:p>
        </w:tc>
        <w:tc>
          <w:tcPr>
            <w:tcW w:w="1980" w:type="dxa"/>
          </w:tcPr>
          <w:p w14:paraId="7511E3D9" w14:textId="77777777" w:rsidR="00003532" w:rsidRPr="006521B6" w:rsidRDefault="00003532" w:rsidP="00003532">
            <w:pPr>
              <w:pStyle w:val="TableParagraph"/>
              <w:rPr>
                <w:rFonts w:asciiTheme="minorHAnsi" w:hAnsiTheme="minorHAnsi" w:cstheme="minorHAnsi"/>
                <w:i/>
                <w:iCs/>
                <w:sz w:val="18"/>
                <w:szCs w:val="18"/>
              </w:rPr>
            </w:pPr>
            <w:r w:rsidRPr="006521B6">
              <w:rPr>
                <w:rFonts w:asciiTheme="minorHAnsi" w:hAnsiTheme="minorHAnsi" w:cstheme="minorHAnsi"/>
                <w:i/>
                <w:iCs/>
                <w:sz w:val="18"/>
                <w:szCs w:val="18"/>
              </w:rPr>
              <w:t>PILAR TORRE</w:t>
            </w:r>
          </w:p>
        </w:tc>
        <w:tc>
          <w:tcPr>
            <w:tcW w:w="1276" w:type="dxa"/>
          </w:tcPr>
          <w:p w14:paraId="4A5EE901" w14:textId="77777777" w:rsidR="00003532" w:rsidRPr="006521B6" w:rsidRDefault="00003532" w:rsidP="00003532">
            <w:pPr>
              <w:pStyle w:val="TableParagraph"/>
              <w:rPr>
                <w:rFonts w:asciiTheme="minorHAnsi" w:hAnsiTheme="minorHAnsi" w:cstheme="minorHAnsi"/>
                <w:i/>
                <w:iCs/>
                <w:sz w:val="18"/>
                <w:szCs w:val="18"/>
              </w:rPr>
            </w:pPr>
            <w:r w:rsidRPr="006521B6">
              <w:rPr>
                <w:rFonts w:asciiTheme="minorHAnsi" w:hAnsiTheme="minorHAnsi" w:cstheme="minorHAnsi"/>
                <w:i/>
                <w:iCs/>
                <w:sz w:val="18"/>
                <w:szCs w:val="18"/>
              </w:rPr>
              <w:t>INDIVIDUAL</w:t>
            </w:r>
          </w:p>
        </w:tc>
        <w:tc>
          <w:tcPr>
            <w:tcW w:w="1418" w:type="dxa"/>
          </w:tcPr>
          <w:p w14:paraId="361D97DE" w14:textId="285CCEEF" w:rsidR="00003532" w:rsidRPr="006521B6" w:rsidRDefault="00003532" w:rsidP="00003532">
            <w:pPr>
              <w:pStyle w:val="TableParagraph"/>
              <w:jc w:val="center"/>
              <w:rPr>
                <w:rFonts w:asciiTheme="minorHAnsi" w:hAnsiTheme="minorHAnsi" w:cstheme="minorHAnsi"/>
                <w:i/>
                <w:iCs/>
                <w:sz w:val="18"/>
                <w:szCs w:val="18"/>
              </w:rPr>
            </w:pPr>
            <w:r w:rsidRPr="00003532">
              <w:rPr>
                <w:rFonts w:asciiTheme="minorHAnsi" w:hAnsiTheme="minorHAnsi" w:cstheme="minorHAnsi"/>
                <w:i/>
                <w:iCs/>
                <w:sz w:val="18"/>
                <w:szCs w:val="18"/>
              </w:rPr>
              <w:t xml:space="preserve">645,89 </w:t>
            </w:r>
          </w:p>
        </w:tc>
      </w:tr>
      <w:tr w:rsidR="00003532" w:rsidRPr="007D7C23" w14:paraId="7A61528A" w14:textId="77777777" w:rsidTr="006521B6">
        <w:tblPrEx>
          <w:tblCellMar>
            <w:left w:w="70" w:type="dxa"/>
            <w:right w:w="70" w:type="dxa"/>
          </w:tblCellMar>
        </w:tblPrEx>
        <w:trPr>
          <w:trHeight w:val="329"/>
          <w:jc w:val="center"/>
        </w:trPr>
        <w:tc>
          <w:tcPr>
            <w:tcW w:w="850" w:type="dxa"/>
          </w:tcPr>
          <w:p w14:paraId="6337240F" w14:textId="79728BD7" w:rsidR="00003532" w:rsidRPr="006521B6" w:rsidRDefault="00003532" w:rsidP="006521B6">
            <w:pPr>
              <w:pStyle w:val="TableParagraph"/>
              <w:rPr>
                <w:rFonts w:asciiTheme="minorHAnsi" w:hAnsiTheme="minorHAnsi" w:cstheme="minorHAnsi"/>
                <w:i/>
                <w:iCs/>
                <w:sz w:val="18"/>
                <w:szCs w:val="18"/>
              </w:rPr>
            </w:pPr>
            <w:r>
              <w:rPr>
                <w:rFonts w:asciiTheme="minorHAnsi" w:hAnsiTheme="minorHAnsi" w:cstheme="minorHAnsi"/>
                <w:i/>
                <w:iCs/>
                <w:sz w:val="18"/>
                <w:szCs w:val="18"/>
              </w:rPr>
              <w:t>24561</w:t>
            </w:r>
          </w:p>
        </w:tc>
        <w:tc>
          <w:tcPr>
            <w:tcW w:w="1980" w:type="dxa"/>
          </w:tcPr>
          <w:p w14:paraId="556F3AC6" w14:textId="59497097" w:rsidR="00003532" w:rsidRPr="006521B6" w:rsidRDefault="00003532" w:rsidP="006521B6">
            <w:pPr>
              <w:pStyle w:val="TableParagraph"/>
              <w:rPr>
                <w:rFonts w:asciiTheme="minorHAnsi" w:hAnsiTheme="minorHAnsi" w:cstheme="minorHAnsi"/>
                <w:i/>
                <w:iCs/>
                <w:sz w:val="18"/>
                <w:szCs w:val="18"/>
              </w:rPr>
            </w:pPr>
            <w:r>
              <w:rPr>
                <w:rFonts w:asciiTheme="minorHAnsi" w:hAnsiTheme="minorHAnsi" w:cstheme="minorHAnsi"/>
                <w:i/>
                <w:iCs/>
                <w:sz w:val="18"/>
                <w:szCs w:val="18"/>
              </w:rPr>
              <w:t>PITTAR</w:t>
            </w:r>
          </w:p>
        </w:tc>
        <w:tc>
          <w:tcPr>
            <w:tcW w:w="1276" w:type="dxa"/>
          </w:tcPr>
          <w:p w14:paraId="272EAA47" w14:textId="14BE45C0" w:rsidR="00003532" w:rsidRPr="006521B6" w:rsidRDefault="00003532" w:rsidP="006521B6">
            <w:pPr>
              <w:pStyle w:val="TableParagraph"/>
              <w:rPr>
                <w:rFonts w:asciiTheme="minorHAnsi" w:hAnsiTheme="minorHAnsi" w:cstheme="minorHAnsi"/>
                <w:i/>
                <w:iCs/>
                <w:sz w:val="18"/>
                <w:szCs w:val="18"/>
              </w:rPr>
            </w:pPr>
            <w:r w:rsidRPr="006521B6">
              <w:rPr>
                <w:rFonts w:asciiTheme="minorHAnsi" w:hAnsiTheme="minorHAnsi" w:cstheme="minorHAnsi"/>
                <w:i/>
                <w:iCs/>
                <w:sz w:val="18"/>
                <w:szCs w:val="18"/>
              </w:rPr>
              <w:t>INDIVIDUAL</w:t>
            </w:r>
          </w:p>
        </w:tc>
        <w:tc>
          <w:tcPr>
            <w:tcW w:w="1418" w:type="dxa"/>
          </w:tcPr>
          <w:p w14:paraId="4447324B" w14:textId="65692B19" w:rsidR="00003532" w:rsidRPr="006521B6" w:rsidRDefault="00003532" w:rsidP="006521B6">
            <w:pPr>
              <w:pStyle w:val="TableParagraph"/>
              <w:jc w:val="center"/>
              <w:rPr>
                <w:rFonts w:asciiTheme="minorHAnsi" w:hAnsiTheme="minorHAnsi" w:cstheme="minorHAnsi"/>
                <w:i/>
                <w:iCs/>
                <w:sz w:val="18"/>
                <w:szCs w:val="18"/>
              </w:rPr>
            </w:pPr>
            <w:r w:rsidRPr="00003532">
              <w:rPr>
                <w:rFonts w:asciiTheme="minorHAnsi" w:hAnsiTheme="minorHAnsi" w:cstheme="minorHAnsi"/>
                <w:i/>
                <w:iCs/>
                <w:sz w:val="18"/>
                <w:szCs w:val="18"/>
              </w:rPr>
              <w:t>178.203,62</w:t>
            </w:r>
          </w:p>
        </w:tc>
      </w:tr>
    </w:tbl>
    <w:p w14:paraId="03202358" w14:textId="77777777" w:rsidR="00FC13C1" w:rsidRPr="00276EA5" w:rsidRDefault="00FC13C1" w:rsidP="00FC13C1">
      <w:pPr>
        <w:spacing w:line="276" w:lineRule="auto"/>
        <w:jc w:val="center"/>
        <w:rPr>
          <w:sz w:val="24"/>
          <w:szCs w:val="24"/>
        </w:rPr>
      </w:pPr>
    </w:p>
    <w:sectPr w:rsidR="00FC13C1" w:rsidRPr="00276EA5" w:rsidSect="00B2602D">
      <w:headerReference w:type="default" r:id="rId11"/>
      <w:pgSz w:w="11906" w:h="16838"/>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87C13" w14:textId="77777777" w:rsidR="001D6CCA" w:rsidRDefault="001D6CCA" w:rsidP="00D46CE9">
      <w:pPr>
        <w:spacing w:after="0" w:line="240" w:lineRule="auto"/>
      </w:pPr>
      <w:r>
        <w:separator/>
      </w:r>
    </w:p>
  </w:endnote>
  <w:endnote w:type="continuationSeparator" w:id="0">
    <w:p w14:paraId="6B43A49C" w14:textId="77777777" w:rsidR="001D6CCA" w:rsidRDefault="001D6CCA" w:rsidP="00D4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C2CA" w14:textId="77777777" w:rsidR="001D6CCA" w:rsidRDefault="001D6CCA" w:rsidP="00D46CE9">
      <w:pPr>
        <w:spacing w:after="0" w:line="240" w:lineRule="auto"/>
      </w:pPr>
      <w:r>
        <w:separator/>
      </w:r>
    </w:p>
  </w:footnote>
  <w:footnote w:type="continuationSeparator" w:id="0">
    <w:p w14:paraId="2E20A091" w14:textId="77777777" w:rsidR="001D6CCA" w:rsidRDefault="001D6CCA" w:rsidP="00D46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95B8" w14:textId="279B201F" w:rsidR="00D46CE9" w:rsidRDefault="00327904" w:rsidP="00D46CE9">
    <w:pPr>
      <w:pStyle w:val="Encabezado"/>
    </w:pPr>
    <w:r>
      <w:rPr>
        <w:rFonts w:ascii="Arial" w:hAnsi="Arial"/>
        <w:noProof/>
        <w:sz w:val="14"/>
      </w:rPr>
      <mc:AlternateContent>
        <mc:Choice Requires="wps">
          <w:drawing>
            <wp:anchor distT="0" distB="0" distL="114300" distR="114300" simplePos="0" relativeHeight="251663360" behindDoc="0" locked="0" layoutInCell="0" allowOverlap="1" wp14:anchorId="04324598" wp14:editId="4B66D9E9">
              <wp:simplePos x="0" y="0"/>
              <wp:positionH relativeFrom="column">
                <wp:posOffset>3958234</wp:posOffset>
              </wp:positionH>
              <wp:positionV relativeFrom="paragraph">
                <wp:posOffset>-682015</wp:posOffset>
              </wp:positionV>
              <wp:extent cx="1601470" cy="365760"/>
              <wp:effectExtent l="0" t="0" r="17780" b="152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204E1BA" w14:textId="77777777" w:rsidR="00327904" w:rsidRDefault="00327904" w:rsidP="00327904">
                          <w:pPr>
                            <w:spacing w:line="216" w:lineRule="auto"/>
                            <w:jc w:val="center"/>
                            <w:rPr>
                              <w:rFonts w:ascii="Arial" w:hAnsi="Arial"/>
                              <w:sz w:val="16"/>
                            </w:rPr>
                          </w:pPr>
                          <w:r>
                            <w:rPr>
                              <w:rFonts w:ascii="Arial" w:hAnsi="Arial"/>
                              <w:sz w:val="16"/>
                            </w:rPr>
                            <w:t>Secretaria General de Pesca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24598" id="Rectangle 4" o:spid="_x0000_s1026" style="position:absolute;margin-left:311.65pt;margin-top:-53.7pt;width:126.1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icDQIAAPgDAAAOAAAAZHJzL2Uyb0RvYy54bWysU9tu2zAMfR+wfxD0vjjOcmmNOEWRrsOA&#10;rhvQ9QNkWbaFyaJGKbGzrx+lpGmwvRXzg0Ca1CF5eLS+GXvD9gq9BlvyfDLlTFkJtbZtyZ9/3H+4&#10;4swHYWthwKqSH5TnN5v379aDK9QMOjC1QkYg1heDK3kXgiuyzMtO9cJPwClLwQawF4FcbLMaxUDo&#10;vclm0+kyGwBrhyCV9/T37hjkm4TfNEqGb03jVWCm5NRbSCems4pntlmLokXhOi1PbYg3dNELbano&#10;GepOBMF2qP+B6rVE8NCEiYQ+g6bRUqUZaJp8+tc0T51wKs1C5Hh3psn/P1j5uH9y3zG27t0DyJ+e&#10;Wdh2wrbqFhGGTomayuWRqGxwvjhfiI6nq6wavkJNqxW7AImDscE+AtJ0bExUH85UqzEwST/z5TSf&#10;r2gjkmIfl4vVMu0iE8XLbYc+fFbQs2iUHGmVCV3sH3yI3YjiJSUWs3CvjUnrNJYNJb9ezBbpggej&#10;6xhMQ2JbbQ2yvYiCSF8ajca/TOt1IFka3Zf86pwkisjGJ1unKkFoc7SpE2NP9ERGovh8EcZqpMRo&#10;VlAfiCiEo/zouZDRAf7mbCDpldz/2glUnJkvlsi+zufzqNXkzBerGTl4GakuI8JKgip54OxobsNR&#10;3zuHuu2oUp5osHBLC2p04u61q1PfJK9E6ekpRP1e+inr9cFu/gAAAP//AwBQSwMEFAAGAAgAAAAh&#10;AL/zgwXiAAAADAEAAA8AAABkcnMvZG93bnJldi54bWxMj01vwjAMhu+T9h8iT9oNUspXKU0RQ9ph&#10;B5DW7cLNNKataJKqCVD+/bzTdrT96PXzZpvBtOJGvW+cVTAZRyDIlk43tlLw/fU+SkD4gFZj6ywp&#10;eJCHTf78lGGq3d1+0q0IleAQ61NUUIfQpVL6siaDfuw6snw7u95g4LGvpO7xzuGmlXEULaTBxvKH&#10;Gjva1VReiqtRsDscj8PqsKXz3ny8xSEUuH8USr2+DNs1iEBD+IPhV5/VIWenk7ta7UWrYBFPp4wq&#10;GE2i5QwEI8lyPgdx4tVslYDMM/m/RP4DAAD//wMAUEsBAi0AFAAGAAgAAAAhALaDOJL+AAAA4QEA&#10;ABMAAAAAAAAAAAAAAAAAAAAAAFtDb250ZW50X1R5cGVzXS54bWxQSwECLQAUAAYACAAAACEAOP0h&#10;/9YAAACUAQAACwAAAAAAAAAAAAAAAAAvAQAAX3JlbHMvLnJlbHNQSwECLQAUAAYACAAAACEAsqN4&#10;nA0CAAD4AwAADgAAAAAAAAAAAAAAAAAuAgAAZHJzL2Uyb0RvYy54bWxQSwECLQAUAAYACAAAACEA&#10;v/ODBeIAAAAMAQAADwAAAAAAAAAAAAAAAABnBAAAZHJzL2Rvd25yZXYueG1sUEsFBgAAAAAEAAQA&#10;8wAAAHYFAAAAAA==&#10;" o:allowincell="f" filled="f" fillcolor="silver">
              <v:textbox>
                <w:txbxContent>
                  <w:p w14:paraId="5204E1BA" w14:textId="77777777" w:rsidR="00327904" w:rsidRDefault="00327904" w:rsidP="00327904">
                    <w:pPr>
                      <w:spacing w:line="216" w:lineRule="auto"/>
                      <w:jc w:val="center"/>
                      <w:rPr>
                        <w:rFonts w:ascii="Arial" w:hAnsi="Arial"/>
                        <w:sz w:val="16"/>
                      </w:rPr>
                    </w:pPr>
                    <w:r>
                      <w:rPr>
                        <w:rFonts w:ascii="Arial" w:hAnsi="Arial"/>
                        <w:sz w:val="16"/>
                      </w:rPr>
                      <w:t>Secretaria General de Pesca</w:t>
                    </w:r>
                  </w:p>
                </w:txbxContent>
              </v:textbox>
            </v:rect>
          </w:pict>
        </mc:Fallback>
      </mc:AlternateContent>
    </w:r>
    <w:r w:rsidR="00D46CE9">
      <w:rPr>
        <w:noProof/>
      </w:rPr>
      <mc:AlternateContent>
        <mc:Choice Requires="wps">
          <w:drawing>
            <wp:anchor distT="45720" distB="45720" distL="114300" distR="114300" simplePos="0" relativeHeight="251661312" behindDoc="0" locked="0" layoutInCell="1" allowOverlap="1" wp14:anchorId="1DC5697F" wp14:editId="5A4E3DB1">
              <wp:simplePos x="0" y="0"/>
              <wp:positionH relativeFrom="column">
                <wp:posOffset>3965575</wp:posOffset>
              </wp:positionH>
              <wp:positionV relativeFrom="paragraph">
                <wp:posOffset>-260350</wp:posOffset>
              </wp:positionV>
              <wp:extent cx="1638300" cy="360680"/>
              <wp:effectExtent l="0" t="0" r="19050"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60680"/>
                      </a:xfrm>
                      <a:prstGeom prst="rect">
                        <a:avLst/>
                      </a:prstGeom>
                      <a:solidFill>
                        <a:srgbClr val="FFFFFF"/>
                      </a:solidFill>
                      <a:ln w="9525">
                        <a:solidFill>
                          <a:schemeClr val="bg1"/>
                        </a:solidFill>
                        <a:miter lim="800000"/>
                        <a:headEnd/>
                        <a:tailEnd/>
                      </a:ln>
                    </wps:spPr>
                    <wps:txbx>
                      <w:txbxContent>
                        <w:p w14:paraId="348FBBB2" w14:textId="77777777" w:rsidR="00D46CE9" w:rsidRDefault="00D46CE9" w:rsidP="00D46CE9">
                          <w:pPr>
                            <w:spacing w:line="216" w:lineRule="auto"/>
                            <w:rPr>
                              <w:rFonts w:ascii="Arial" w:hAnsi="Arial"/>
                              <w:sz w:val="16"/>
                            </w:rPr>
                          </w:pPr>
                        </w:p>
                        <w:p w14:paraId="092077CB" w14:textId="77777777" w:rsidR="00D46CE9" w:rsidRPr="0002764B" w:rsidRDefault="00D46CE9" w:rsidP="00D46CE9">
                          <w:pPr>
                            <w:spacing w:line="216" w:lineRule="auto"/>
                            <w:rPr>
                              <w:rFonts w:ascii="Arial" w:hAnsi="Arial"/>
                              <w:sz w:val="16"/>
                            </w:rPr>
                          </w:pPr>
                        </w:p>
                        <w:p w14:paraId="3DA05397" w14:textId="77777777" w:rsidR="00D46CE9" w:rsidRDefault="00D46CE9" w:rsidP="00D46C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5697F" id="_x0000_t202" coordsize="21600,21600" o:spt="202" path="m,l,21600r21600,l21600,xe">
              <v:stroke joinstyle="miter"/>
              <v:path gradientshapeok="t" o:connecttype="rect"/>
            </v:shapetype>
            <v:shape id="Cuadro de texto 2" o:spid="_x0000_s1027" type="#_x0000_t202" style="position:absolute;margin-left:312.25pt;margin-top:-20.5pt;width:129pt;height:2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PeFwIAACUEAAAOAAAAZHJzL2Uyb0RvYy54bWysk9uO2yAQhu8r9R0Q942dY7NWnNU221SV&#10;tgdptw+AMbZRMUOBxE6fvgP2ZtPsXVVfIPDAz8w3P5vbvlXkKKyToHM6naSUCM2hlLrO6Y+n/bs1&#10;Jc4zXTIFWuT0JBy93b59s+lMJmbQgCqFJSiiXdaZnDbemyxJHG9Ey9wEjNAYrMC2zOPS1klpWYfq&#10;rUpmabpKOrClscCFc/j3fgjSbdSvKsH9t6pywhOVU8zNx9HGsQhjst2wrLbMNJKPabB/yKJlUuOl&#10;Z6l75hk5WPlKqpXcgoPKTzi0CVSV5CLWgNVM06tqHhtmRKwF4ThzxuT+nyz/enw03y3x/QfosYGx&#10;CGcegP90RMOuYboWd9ZC1whW4sXTgCzpjMvGowG1y1wQKbovUGKT2cFDFOor2wYqWCdBdWzA6Qxd&#10;9J7wcOVqvp6nGOIYm6/S1Tp2JWHZ82ljnf8koCVhklOLTY3q7PjgfMiGZc9bwmUOlCz3Uqm4sHWx&#10;U5YcGRpgH79YwNU2pUmX05vlbDkA+EsieFGcRYp6QHCl0EqPRlayzek6Dd9grUDtoy6jzTyTaphj&#10;xkqPGAO5gaHvi57IcmQcqBZQnpCrhcG3+M5w0oD9TUmHns2p+3VgVlCiPmvszc10sQgmj4vF8v0M&#10;F/YyUlxGmOYolVNPyTDd+fgwAjYNd9jDSka8L5mMKaMXI/Xx3QSzX67jrpfXvf0DAAD//wMAUEsD&#10;BBQABgAIAAAAIQDAFDwh3wAAAAoBAAAPAAAAZHJzL2Rvd25yZXYueG1sTI/BToNAEIbvJr7DZky8&#10;tUsJJYgsjdHYmzGiaXtc2BGI7Cxhty369I6nepyZL/98f7GZ7SBOOPnekYLVMgKB1DjTU6vg4/15&#10;kYHwQZPRgyNU8I0eNuX1VaFz4870hqcqtIJDyOdaQRfCmEvpmw6t9ks3IvHt001WBx6nVppJnznc&#10;DjKOolRa3RN/6PSIjx02X9XRKvBNlO5ek2q3r+UWf+6MeTpsX5S6vZkf7kEEnMMFhj99VoeSnWp3&#10;JOPFoCCNkzWjChbJiksxkWUxb2pG1xnIspD/K5S/AAAA//8DAFBLAQItABQABgAIAAAAIQC2gziS&#10;/gAAAOEBAAATAAAAAAAAAAAAAAAAAAAAAABbQ29udGVudF9UeXBlc10ueG1sUEsBAi0AFAAGAAgA&#10;AAAhADj9If/WAAAAlAEAAAsAAAAAAAAAAAAAAAAALwEAAF9yZWxzLy5yZWxzUEsBAi0AFAAGAAgA&#10;AAAhAIqtQ94XAgAAJQQAAA4AAAAAAAAAAAAAAAAALgIAAGRycy9lMm9Eb2MueG1sUEsBAi0AFAAG&#10;AAgAAAAhAMAUPCHfAAAACgEAAA8AAAAAAAAAAAAAAAAAcQQAAGRycy9kb3ducmV2LnhtbFBLBQYA&#10;AAAABAAEAPMAAAB9BQAAAAA=&#10;" strokecolor="white [3212]">
              <v:textbox>
                <w:txbxContent>
                  <w:p w14:paraId="348FBBB2" w14:textId="77777777" w:rsidR="00D46CE9" w:rsidRDefault="00D46CE9" w:rsidP="00D46CE9">
                    <w:pPr>
                      <w:spacing w:line="216" w:lineRule="auto"/>
                      <w:rPr>
                        <w:rFonts w:ascii="Arial" w:hAnsi="Arial"/>
                        <w:sz w:val="16"/>
                      </w:rPr>
                    </w:pPr>
                  </w:p>
                  <w:p w14:paraId="092077CB" w14:textId="77777777" w:rsidR="00D46CE9" w:rsidRPr="0002764B" w:rsidRDefault="00D46CE9" w:rsidP="00D46CE9">
                    <w:pPr>
                      <w:spacing w:line="216" w:lineRule="auto"/>
                      <w:rPr>
                        <w:rFonts w:ascii="Arial" w:hAnsi="Arial"/>
                        <w:sz w:val="16"/>
                      </w:rPr>
                    </w:pPr>
                  </w:p>
                  <w:p w14:paraId="3DA05397" w14:textId="77777777" w:rsidR="00D46CE9" w:rsidRDefault="00D46CE9" w:rsidP="00D46CE9"/>
                </w:txbxContent>
              </v:textbox>
              <w10:wrap type="square"/>
            </v:shape>
          </w:pict>
        </mc:Fallback>
      </mc:AlternateContent>
    </w:r>
    <w:r w:rsidR="00D46CE9">
      <w:rPr>
        <w:noProof/>
      </w:rPr>
      <mc:AlternateContent>
        <mc:Choice Requires="wpg">
          <w:drawing>
            <wp:anchor distT="0" distB="0" distL="114300" distR="114300" simplePos="0" relativeHeight="251659264" behindDoc="0" locked="0" layoutInCell="0" allowOverlap="1" wp14:anchorId="5E880C58" wp14:editId="052C2001">
              <wp:simplePos x="0" y="0"/>
              <wp:positionH relativeFrom="column">
                <wp:posOffset>-342900</wp:posOffset>
              </wp:positionH>
              <wp:positionV relativeFrom="paragraph">
                <wp:posOffset>-895985</wp:posOffset>
              </wp:positionV>
              <wp:extent cx="2377440" cy="83820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838200"/>
                        <a:chOff x="432" y="720"/>
                        <a:chExt cx="3744" cy="1320"/>
                      </a:xfrm>
                    </wpg:grpSpPr>
                    <wps:wsp>
                      <wps:cNvPr id="4" name="Text Box 4"/>
                      <wps:cNvSpPr txBox="1">
                        <a:spLocks noChangeArrowheads="1"/>
                      </wps:cNvSpPr>
                      <wps:spPr bwMode="auto">
                        <a:xfrm>
                          <a:off x="1584" y="1152"/>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F0E9B" w14:textId="3B50D9BB" w:rsidR="00D46CE9" w:rsidRPr="00A66216" w:rsidRDefault="00D46CE9" w:rsidP="00D46CE9">
                            <w:pPr>
                              <w:rPr>
                                <w:rFonts w:ascii="Arial" w:hAnsi="Arial"/>
                                <w:sz w:val="16"/>
                                <w:szCs w:val="16"/>
                              </w:rPr>
                            </w:pPr>
                            <w:r>
                              <w:rPr>
                                <w:rFonts w:ascii="Arial" w:hAnsi="Arial"/>
                                <w:sz w:val="16"/>
                                <w:szCs w:val="16"/>
                              </w:rPr>
                              <w:t>MINISTERIO DE AGRICULTURA, PESCA</w:t>
                            </w:r>
                            <w:r w:rsidRPr="00056611">
                              <w:rPr>
                                <w:rFonts w:ascii="Arial" w:hAnsi="Arial"/>
                                <w:sz w:val="16"/>
                                <w:szCs w:val="16"/>
                              </w:rPr>
                              <w:t xml:space="preserve"> </w:t>
                            </w:r>
                            <w:r>
                              <w:rPr>
                                <w:rFonts w:ascii="Arial" w:hAnsi="Arial"/>
                                <w:sz w:val="16"/>
                                <w:szCs w:val="16"/>
                              </w:rPr>
                              <w:t xml:space="preserve">Y ALIMENTACIÓN </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880C58" id="Grupo 3" o:spid="_x0000_s1028" style="position:absolute;margin-left:-27pt;margin-top:-70.55pt;width:187.2pt;height:66pt;z-index:251659264" coordorigin="432,720" coordsize="3744,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1k8eOAMAAM0HAAAOAAAAZHJzL2Uyb0RvYy54bWykVW1P2zAQ/j5p/8Hy&#10;d0jTFygRLWIwEBLb0GA/wHGcxCKxPdttyn797uw24WUIxCo1Ovvsy3PPPXc5Ptm0DVkL66RWC5ru&#10;jygRiutCqmpBf91d7M0pcZ6pgjVaiQV9EI6eLD9/Ou5MJsa61k0hLIEgymWdWdDae5MlieO1aJnb&#10;10YocJbatszD0lZJYVkH0dsmGY9GB0mnbWGs5sI52D2PTroM8ctScP+jLJ3wpFlQwObD04Znjs9k&#10;ecyyyjJTS76FwT6AomVSwUv7UOfMM7Ky8kWoVnKrnS79PtdtostSchFygGzS0bNsLq1emZBLlXWV&#10;6WkCap/x9OGw/Pv60ppbc2MjejCvNb93wEvSmSp77Md1FQ+TvPumC6gnW3kdEt+UtsUQkBLZBH4f&#10;en7FxhMOm+PJ4eF0CmXg4JtP5lDAWABeQ5Xw2nQypgSch+Pe83V7eQJX4810Er0Jy+JbA9ItMqw8&#10;SMkNbLn/Y+u2ZkaEIjhk48YSWQBQShRrgYA7TO6L3pAppoLvhkPIJ/Eb2IaeCPS4SCtR+qxmqhKn&#10;1uquFqwAdCnehBz6qzGOwyBv8ZzO5gAFGEvT2TiS2bM9OwIyA9UHAVzPF8uMdf5S6JagsaAW+iTA&#10;ZOtr5xHNcASL6nQjiwvZNGFhq/yssWTNoKcuwi8k8OxYo/Cw0ngtRsSdkCZmFnP0m3wT+AzYkYJc&#10;Fw+Qt9WxVWG0gFFr+4eSDtp0Qd3vFbOCkuZKAXdHaRCUD4vpDHVD7GNP/tjDFIdQC+opieaZj7Ng&#10;ZaysanhTrJbSp6DrUgYqBlRb+CCu5bGRPIP/tifBeqGyt2cX3PIrzCXOv/ZdMVpm71dmD8aHYV7m&#10;spH+IYxCKCCCUusbyZFfXAyCne0EC158KZlh0XZn4g0ouuSh/QedOgPaQF6GrRfSfRolweUTFHkj&#10;zU49aG/zBeqfjbF/UBZH5Lnmq1YoH2e+FQ2krpWrpXFQ70y0uShAxldF6CVQouU/ATdkCLa3wvMa&#10;zRK0uN0HhfeOgHgAifjf1XwvptWu9dLJ6OCVWTU01jt7r+8glr3SUju8IE804R+EGr4ZYD35KD1e&#10;h1PDV3j5FwAA//8DAFBLAwQKAAAAAAAAACEAqqlpZrgNAAC4DQAAFAAAAGRycy9tZWRpYS9pbWFn&#10;ZTEucG5niVBORw0KGgoAAAANSUhEUgAAATIAAAE3AQMAAAATxV81AAAABGdBTUEAALGIlZj0pgAA&#10;AAZQTFRFAAAA////pdmf3QAAAAlwSFlzAAALEQAACxEBf2RfkQAADUhJREFUeJzt2l9sFMcZAPBZ&#10;r+M1qeMzIVWMsG7Nn5RWoo0RVWMK8ZokVWiqym36kjdMSJtGosWUh9LG8axrEpPEcNBEDWkRC6nU&#10;PKGSRpWiPsR7OmIrissR5aFBSnN7mHCkhLLHpdweXu/Xb2Zvz7P27Z2l9KEPPlm+u/Vvv/mzszPf&#10;LBBY1MskS27JfUGX/B+7dxfpmrVFOW+xjo4vzrUsLt5i6wefLjz0hfplse7gIl0zXZTzntIW564Z&#10;i3PN6qKcO7vIeLBIR9TZ+m72wM/JluZEXee88aC28fFDdd0LDz1K7mo+Wdd9deod8kP9BVrHOWOk&#10;paedzK/gAncrCRe3rQDr9douc6uVdG8fIx3LXs3UcM5Ybxd9rvcMyMubD9Rwd566axJsMgqllx9f&#10;RyNd6ZGD2wxwf2eAt+3g8w9Hunz72YsUvN+OA6whLXdHus910oTXV0d3pImcpVFuecz7DrqDBt5L&#10;Xe4dkW77AFmG7jV0V4h8KMqV5BH4Erq/MEedgViEc85pHnM6uksatLwe4W6tBPcldGMZbJIBl5UI&#10;d2U9eOjcg8ypkF8e4Sb6wPsRgP7HXgr/0cB9OcKdN5izW04+psAnGni9ES45Du4IjLhjOyy4hGVv&#10;i3BvUHBfdLXZjh2eekUF+Aqt7u7Ea/s1C2Y7+iD1ngZwaryq8x7AXy0KzG67F5x2jHVGqx6vAb8/&#10;RKG0816Ao0SDIxHlXgSHPIquF926HgWOVo/nrYEUrMR+0/tYn9jwslrVuS94Kusbbzsbz+CpB4zq&#10;8W53AC5gWWyd+TFA+kBEOx6ZBkhh33RgeacACqchwvXh2MK4cXSj+HFD9fp5z2M5Nn7YMQ7wAfB6&#10;VnWH8O83MSbFNr+J3x+L6JcNeH4RB7uGbgu2/w8R9XtuB9ZrB0yP7wT3LRwTZ2h114Tx/pEBKy6B&#10;52L89yP6ZTvWL/0R5MhmmGAz+UMR8Zbh+dfPw+iUq5kl/N4ZUb8knn/5QFz7GOIdq3BCfTbCnd8D&#10;LlEn6Ak4hmsIlBojnKmAt9dIq1Pubi9ngL0zwk2ncu5Mpn2SdE9sLSZKnxQiXLE0WZr5+NdP3CO9&#10;cqJYdK7PRMWblQol/Rc7r2Vf0h8uJO8diXB2d3+X3fbtPddgtEFWViXUCAft3uBPDAemIO19qBnn&#10;aJS74KZbMw6dgte9j7vTlyDKJUujPekZ7ff0PjfztyeTke5S6RUvVzi8qWNfKXOj70Kku0xecd+8&#10;bO1MfrirzzZXRjs5VTrWoY3Rpqb1trci0tnGp4VYgRCyydn0jjsa6by+qaZ+wl7ysZbSeKSDtZnj&#10;JlsNZknsxrQW7Y4tt2KgE0KByK20mivx3+eekD1C4oQozjKHH8nNc/7RaZPqGlgUelVzmh9JVY3n&#10;KKaaOUw6Bj19MFYjnjcUs5VvwD+7ZTdm1HL9NFdsJR1bSkWTu1v37Ag7wovxYvnritHw9v77sy7v&#10;lsca20LObiC8G1KfWCrz8qd8tLhyKqmJLtXQxL9bOLXg5YjB9DLu1n8wQUU38pvbWRyYmkFGM7qM&#10;g5rV2iKKKjrJvItXMAl4YByPq1kej7QTsVxPeuCb3BUs7QobB6AXebwW0qmGXOc67mYUmzXoiOTy&#10;xdxtWBeKBw2/epQ7Z9A/YMf4BXOO6FKoHWv2nOkrl+sfsJ7m8dYdXRdy+nef4vW4GeQizir+1kzC&#10;/XyWSDyQbZbdsD9QhpdLIWc/0MnjO1v941aPH/j9B14MuRs/fc3/MGIz2KlY/tcLjSvCjiVqPGDM&#10;YreRXc5xrF4l5BwisV/hl4yOVHH2AsfOVEWH3xXIl9taqLw75AeuITpsbFH4e/DOZt6FbmG86q4k&#10;OsreS1VdqFwtOl7Ira/t/mqU3Wjt+rWpZaf7/VKt/5gjgSNQLICnwedUdOn31qgh55KeXIGfD6Iz&#10;Cd4HMxVXxAvbM1lglSuFXJFVcS5eASfLHqW+y2d10hKLKpc5k10Hd6dpkkYV20HZj9iOchFrepep&#10;UHBW2/3EVaLi5XFryfqr4MnYcQ4rVyfh+8hic3yJn48OZJyNHLW+G8E/cDcOz4RcDmYE50kYyNG4&#10;+/48957gXFLPmWY/xfYSzSIO5e5nVZ1u9mtYP0s1JQei4s1UHLtDS1A7HpbLupPk6zit7PbWcA6f&#10;BXi50mJdrXIDh/14Wz6yvYIziVKrvRWH8xnvP6OOM8suIp5bdgmd3O1Wd1fFeE24ZLo1rm/gzMAt&#10;rF8oninpSoQTxx+YMjqtviPfM+Va9auMe8OSXS26vYHLgi3VdK2khZU7jS3i4x4WOCi7uO/wjkdH&#10;yN3zHPaIPOd4D0IBMzwy7/7ViUlWMteq8nmSTQQ2WT7p3BZynxPrOVMSHJuH7Y7l5hWdis7s3zvW&#10;K1X6j31QwW7daCYdVXSkf28rCTsNbGW1mR2TBecM9m9W9CpOT44RwWU/Glglm4GzAyef0pPHeSJX&#10;dsNTXXFScZiujciYp9pSUk9ZTeqcI1Ndrc2Bc74swalh3zmpgXis4jzibGy5I6ifhQVnkzqWj32a&#10;6vrWnHOJpZGGoL2T4FIbByqfjeRu/nglcP1dDScDl8BlTZdM5ui4tfJPohsgMxpmOCx3YYlcgkim&#10;jEkbGJ4cF12XelWDYXQtOE5MOtkrWTz/MMBqFeu3Gq6y9cMiKo6TBjVnDxcVfz7Y3SK2N8ZciTvJ&#10;pZMF7OpYed4YE919gsMJKI+hA3dJ7OfcnJMxHSnNYMZbdo7gZMEpOXBdqLjdjdqca1QE93e4OYhD&#10;KHANgjuo+Pcbc7HjkOuhmAj67jNJcEfQqdzhBHQMpt+mrJMxL9FggziuTqKTy6mA8RZNGdiZKl+X&#10;YLc4TrHzr5LA7aepDCYfRn03nUaX8d0GSXCYtl6Vyu5Ev0rS4+xTAc5jvNB9hK6B+q6nt5XsMXw3&#10;hU4VHKBrDJw55ybUhfNVe8Wp5MmySxnw9fmuK3BXMo/nyg6z/QXODJytDVecttDp1M/Ht9pbhou6&#10;n2fjTTff/ZsEztmbygVOWeAcQkt2zNL0HntvMigXb+nT85xVcbPZYsUROr9f9IrD++l60A6izisX&#10;521Y6HAZnufYxsJ3cWpqadV3NpGuhZ2FrfOdgVvvtJy1VcwTcT2+P+x0lj9XXEY27TjeeFibO0LO&#10;ZfOj7zKarhls/ljL80Q55Gyex3KXHn9j/O2BFlnfxfMEf/8s5KcQOMOCHn450J0J5/dYD2m87HJp&#10;a2gQ69fB8t3jxN9wlR1WTwnKzeXyrovtbWf57glCQvcHIasCVyhYsyx3sRPsPteJeP9i9Z4OXL40&#10;U2A5U5473sCKw9XxauBKLuTyOJKnuXP9hgTzGlEqzvVaYxbm+SnuYJ7TKm4Q52eTTtFR31lhBxWH&#10;ex0Y2zO1v1XmrlusH1EEh/NxXJnaH/fdn0PtUAWngBuXzYGeXdydNkX3yzk3hIlBfLW5M152tuCG&#10;i0I8oiWPd2VTrWXnCm5UcEM4BOJthYvl+p2+IbgXRSfpXapUsHrKLitct6M50c24VC9Y1O+/05Yw&#10;DqxQvBmPmoWzEDhxHIRcyaXOvkR9h+W6m9TAmeL4C8fzKHtua/guKThnfjwg3Vo53rQ47sPxnLis&#10;D6j+PvR0LsJ5Ut6OSy2dQT+LDsLx8vpA3L9/jXnzX8jlfbe2nsP6SWNdQbk1ndCOGs6lMukK+qWG&#10;w35uq1yPms7dFIPETL32uvSzfc9CrG48O2buM7367bVjOE6H5Hw9l0+wcV/3epTyh9sLE/FdpXqu&#10;dLirkOqoe93yTgzL3Vq3HXlHLa8fdZzXo5j7Y0aV5wzC+sHc1vvOPpOo9jwi7KAb58lJtcpzEGtu&#10;3WKuDaZw1YxybtldAgnnZ0vLsXIXOE1wMjpbzbGnYl7IXWddELjLQxshCwVM9JmjoksDZMAb8N0E&#10;OtybqWmG/qWK7naWrQTuHJUxR7DROfwZs+B4VuN1+S6hScxpCZ4RpkWHlcBRXnaGZhp5r58a/MnX&#10;fIe91eY71XCUgiODWjUeumO+0xIujhcFtKhydX++35zwVuethEej4pnldUHxNlrTCZdWrR8es3w3&#10;sdZrIw0xBzOLzmr9AuXrcWiFRxqJWuKXc34ewTeK3Mmb3wW9pZ1m+emh/IDvs1T2sBhdw8AlyJnP&#10;4OabudtCrgM3YjiwuGuyb2os0x3F/QsuiuL6gflAzFXB467VLqhsT6aynyRuDuccpqeUHeeuxy6w&#10;/23B1v8hGSxNcGlMipUMQIrlEUN2kT1ExzNhP6FEERwuP6aELotuwBsosp1yFiLbC06npj8IXTm2&#10;ho/UcC7R9Bi8mvBkbDsel1wsSHRUjznoQMd8l5jdMdxbYEjcO+pgCy6LzfJUHlgCstmSHX8eoAnc&#10;WwvuOnZTLMMaiWH0lWwvzS/rfgnHWri9lswcsGf2EruELDp0RrQD2PNYh/1JD4ZRhGPN3Ixv/j8D&#10;EIfEdNFpRLa5A91/XqiBXwtCxfbiOFBd3+FufgZsf9YDXwvthbmXTjTTT66FVzDuhZcbzBV1HICp&#10;LTxUzVU7dcktuSW35Jbckvt/cP8F+W+Ujp1yG2MAAAAASUVORK5CYIJQSwMEFAAGAAgAAAAhANbp&#10;PiPiAAAACwEAAA8AAABkcnMvZG93bnJldi54bWxMj0FPwzAMhe9I/IfISNy2NFuHoDSdpgk4TUhs&#10;SIhb1nhttcapmqzt/j3mBDfb7+n5e/l6cq0YsA+NJw1qnoBAKr1tqNLweXidPYII0ZA1rSfUcMUA&#10;6+L2JjeZ9SN94LCPleAQCpnRUMfYZVKGskZnwtx3SKydfO9M5LWvpO3NyOGulYskeZDONMQfatPh&#10;tsbyvL84DW+jGTdL9TLszqft9fuwev/aKdT6/m7aPIOIOMU/M/ziMzoUzHT0F7JBtBpmq5S7RB5U&#10;qhQItiwXSQriyKcnBbLI5f8Ox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t9ZPHjgDAADNBwAADgAAAAAAAAAAAAAAAAA6AgAAZHJzL2Uyb0RvYy54bWxQSwEC&#10;LQAKAAAAAAAAACEAqqlpZrgNAAC4DQAAFAAAAAAAAAAAAAAAAACeBQAAZHJzL21lZGlhL2ltYWdl&#10;MS5wbmdQSwECLQAUAAYACAAAACEA1uk+I+IAAAALAQAADwAAAAAAAAAAAAAAAACIEwAAZHJzL2Rv&#10;d25yZXYueG1sUEsBAi0AFAAGAAgAAAAhAKomDr68AAAAIQEAABkAAAAAAAAAAAAAAAAAlxQAAGRy&#10;cy9fcmVscy9lMm9Eb2MueG1sLnJlbHNQSwUGAAAAAAYABgB8AQAAihUAAAAA&#10;" o:allowincell="f">
              <v:shape id="Text Box 4" o:spid="_x0000_s1029" type="#_x0000_t202" style="position:absolute;left:1584;top:1152;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FCF0E9B" w14:textId="3B50D9BB" w:rsidR="00D46CE9" w:rsidRPr="00A66216" w:rsidRDefault="00D46CE9" w:rsidP="00D46CE9">
                      <w:pPr>
                        <w:rPr>
                          <w:rFonts w:ascii="Arial" w:hAnsi="Arial"/>
                          <w:sz w:val="16"/>
                          <w:szCs w:val="16"/>
                        </w:rPr>
                      </w:pPr>
                      <w:r>
                        <w:rPr>
                          <w:rFonts w:ascii="Arial" w:hAnsi="Arial"/>
                          <w:sz w:val="16"/>
                          <w:szCs w:val="16"/>
                        </w:rPr>
                        <w:t>MINISTERIO DE AGRICULTURA, PESCA</w:t>
                      </w:r>
                      <w:r w:rsidRPr="00056611">
                        <w:rPr>
                          <w:rFonts w:ascii="Arial" w:hAnsi="Arial"/>
                          <w:sz w:val="16"/>
                          <w:szCs w:val="16"/>
                        </w:rPr>
                        <w:t xml:space="preserve"> </w:t>
                      </w:r>
                      <w:r>
                        <w:rPr>
                          <w:rFonts w:ascii="Arial" w:hAnsi="Arial"/>
                          <w:sz w:val="16"/>
                          <w:szCs w:val="16"/>
                        </w:rPr>
                        <w:t xml:space="preserve">Y ALIMENTACIÓN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k0lwwAAANoAAAAPAAAAZHJzL2Rvd25yZXYueG1sRI/NasMw&#10;EITvhbyD2EBvjexC2+BECUmh0FNKnUByXKyNbSKtjCX/xE9fFQo9DjPzDbPejtaInlpfO1aQLhIQ&#10;xIXTNZcKTsePpyUIH5A1Gsek4E4etpvZwxoz7Qb+pj4PpYgQ9hkqqEJoMil9UZFFv3ANcfSurrUY&#10;omxLqVscItwa+Zwkr9JizXGhwobeKypueWcV5KNJTFcsU/91wenwtp/6/HxU6nE+7lYgAo3hP/zX&#10;/tQKXuD3SrwBcvMDAAD//wMAUEsBAi0AFAAGAAgAAAAhANvh9svuAAAAhQEAABMAAAAAAAAAAAAA&#10;AAAAAAAAAFtDb250ZW50X1R5cGVzXS54bWxQSwECLQAUAAYACAAAACEAWvQsW78AAAAVAQAACwAA&#10;AAAAAAAAAAAAAAAfAQAAX3JlbHMvLnJlbHNQSwECLQAUAAYACAAAACEAvGpNJcMAAADaAAAADwAA&#10;AAAAAAAAAAAAAAAHAgAAZHJzL2Rvd25yZXYueG1sUEsFBgAAAAADAAMAtwAAAPcCAAAAAA==&#10;">
                <v:imagedata r:id="rId2" o:title=""/>
              </v:shape>
            </v:group>
          </w:pict>
        </mc:Fallback>
      </mc:AlternateContent>
    </w:r>
  </w:p>
  <w:p w14:paraId="35121EAA" w14:textId="77777777" w:rsidR="00D46CE9" w:rsidRDefault="00D46C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0532"/>
    <w:multiLevelType w:val="hybridMultilevel"/>
    <w:tmpl w:val="105C00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040452"/>
    <w:multiLevelType w:val="hybridMultilevel"/>
    <w:tmpl w:val="7CA2E44C"/>
    <w:lvl w:ilvl="0" w:tplc="E678360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5F7F6F"/>
    <w:multiLevelType w:val="hybridMultilevel"/>
    <w:tmpl w:val="083ADAF8"/>
    <w:lvl w:ilvl="0" w:tplc="BB0ADFFA">
      <w:start w:val="1"/>
      <w:numFmt w:val="lowerLetter"/>
      <w:lvlText w:val="%1)"/>
      <w:lvlJc w:val="left"/>
      <w:pPr>
        <w:ind w:left="135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15953927"/>
    <w:multiLevelType w:val="hybridMultilevel"/>
    <w:tmpl w:val="B8725D3A"/>
    <w:lvl w:ilvl="0" w:tplc="FFFFFFFF">
      <w:start w:val="1"/>
      <w:numFmt w:val="lowerLetter"/>
      <w:lvlText w:val="%1)"/>
      <w:lvlJc w:val="left"/>
      <w:pPr>
        <w:ind w:left="720" w:hanging="360"/>
      </w:pPr>
      <w:rPr>
        <w:rFonts w:eastAsia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EF332F"/>
    <w:multiLevelType w:val="hybridMultilevel"/>
    <w:tmpl w:val="66DEC4F4"/>
    <w:lvl w:ilvl="0" w:tplc="215ACE42">
      <w:numFmt w:val="bullet"/>
      <w:lvlText w:val=""/>
      <w:lvlJc w:val="left"/>
      <w:pPr>
        <w:ind w:left="1080" w:hanging="360"/>
      </w:pPr>
      <w:rPr>
        <w:rFonts w:ascii="Symbol" w:eastAsia="Times New Roman" w:hAnsi="Symbol" w:cstheme="minorHAns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A643E4B"/>
    <w:multiLevelType w:val="hybridMultilevel"/>
    <w:tmpl w:val="70DC288A"/>
    <w:lvl w:ilvl="0" w:tplc="242271E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F002CC4"/>
    <w:multiLevelType w:val="hybridMultilevel"/>
    <w:tmpl w:val="F4224044"/>
    <w:lvl w:ilvl="0" w:tplc="6FF45E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C5451C"/>
    <w:multiLevelType w:val="hybridMultilevel"/>
    <w:tmpl w:val="2E7A7B0A"/>
    <w:lvl w:ilvl="0" w:tplc="C648463C">
      <w:start w:val="1"/>
      <w:numFmt w:val="lowerLetter"/>
      <w:lvlText w:val="%1)"/>
      <w:lvlJc w:val="left"/>
      <w:pPr>
        <w:ind w:left="720" w:hanging="360"/>
      </w:pPr>
    </w:lvl>
    <w:lvl w:ilvl="1" w:tplc="C6D0A3FC">
      <w:start w:val="1"/>
      <w:numFmt w:val="lowerLetter"/>
      <w:lvlText w:val="%2)"/>
      <w:lvlJc w:val="left"/>
      <w:pPr>
        <w:ind w:left="720" w:hanging="360"/>
      </w:pPr>
    </w:lvl>
    <w:lvl w:ilvl="2" w:tplc="6B309D1C">
      <w:start w:val="1"/>
      <w:numFmt w:val="lowerLetter"/>
      <w:lvlText w:val="%3)"/>
      <w:lvlJc w:val="left"/>
      <w:pPr>
        <w:ind w:left="720" w:hanging="360"/>
      </w:pPr>
    </w:lvl>
    <w:lvl w:ilvl="3" w:tplc="B6E2A88E">
      <w:start w:val="1"/>
      <w:numFmt w:val="lowerLetter"/>
      <w:lvlText w:val="%4)"/>
      <w:lvlJc w:val="left"/>
      <w:pPr>
        <w:ind w:left="720" w:hanging="360"/>
      </w:pPr>
    </w:lvl>
    <w:lvl w:ilvl="4" w:tplc="E24AD46C">
      <w:start w:val="1"/>
      <w:numFmt w:val="lowerLetter"/>
      <w:lvlText w:val="%5)"/>
      <w:lvlJc w:val="left"/>
      <w:pPr>
        <w:ind w:left="720" w:hanging="360"/>
      </w:pPr>
    </w:lvl>
    <w:lvl w:ilvl="5" w:tplc="E082596E">
      <w:start w:val="1"/>
      <w:numFmt w:val="lowerLetter"/>
      <w:lvlText w:val="%6)"/>
      <w:lvlJc w:val="left"/>
      <w:pPr>
        <w:ind w:left="720" w:hanging="360"/>
      </w:pPr>
    </w:lvl>
    <w:lvl w:ilvl="6" w:tplc="4CBE818E">
      <w:start w:val="1"/>
      <w:numFmt w:val="lowerLetter"/>
      <w:lvlText w:val="%7)"/>
      <w:lvlJc w:val="left"/>
      <w:pPr>
        <w:ind w:left="720" w:hanging="360"/>
      </w:pPr>
    </w:lvl>
    <w:lvl w:ilvl="7" w:tplc="B9848712">
      <w:start w:val="1"/>
      <w:numFmt w:val="lowerLetter"/>
      <w:lvlText w:val="%8)"/>
      <w:lvlJc w:val="left"/>
      <w:pPr>
        <w:ind w:left="720" w:hanging="360"/>
      </w:pPr>
    </w:lvl>
    <w:lvl w:ilvl="8" w:tplc="5A90E196">
      <w:start w:val="1"/>
      <w:numFmt w:val="lowerLetter"/>
      <w:lvlText w:val="%9)"/>
      <w:lvlJc w:val="left"/>
      <w:pPr>
        <w:ind w:left="720" w:hanging="360"/>
      </w:pPr>
    </w:lvl>
  </w:abstractNum>
  <w:abstractNum w:abstractNumId="8" w15:restartNumberingAfterBreak="0">
    <w:nsid w:val="4F19319F"/>
    <w:multiLevelType w:val="hybridMultilevel"/>
    <w:tmpl w:val="75907A6E"/>
    <w:lvl w:ilvl="0" w:tplc="3054701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F85E83"/>
    <w:multiLevelType w:val="hybridMultilevel"/>
    <w:tmpl w:val="B8725D3A"/>
    <w:lvl w:ilvl="0" w:tplc="B960367C">
      <w:start w:val="1"/>
      <w:numFmt w:val="lowerLetter"/>
      <w:lvlText w:val="%1)"/>
      <w:lvlJc w:val="left"/>
      <w:pPr>
        <w:ind w:left="720" w:hanging="360"/>
      </w:pPr>
      <w:rPr>
        <w:rFonts w:eastAsiaTheme="minorHAns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2220780"/>
    <w:multiLevelType w:val="hybridMultilevel"/>
    <w:tmpl w:val="EADEFC3E"/>
    <w:lvl w:ilvl="0" w:tplc="D6284B94">
      <w:start w:val="1"/>
      <w:numFmt w:val="lowerLetter"/>
      <w:lvlText w:val="%1)"/>
      <w:lvlJc w:val="left"/>
      <w:pPr>
        <w:ind w:left="720" w:hanging="360"/>
      </w:pPr>
      <w:rPr>
        <w:rFonts w:ascii="Calibri" w:hAnsi="Calibri"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6F0F5503"/>
    <w:multiLevelType w:val="hybridMultilevel"/>
    <w:tmpl w:val="25F4563A"/>
    <w:lvl w:ilvl="0" w:tplc="428A340A">
      <w:start w:val="1"/>
      <w:numFmt w:val="upperRoman"/>
      <w:lvlText w:val="%1."/>
      <w:lvlJc w:val="left"/>
      <w:pPr>
        <w:ind w:left="1080" w:hanging="720"/>
      </w:pPr>
      <w:rPr>
        <w:rFonts w:hint="default"/>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95610970">
    <w:abstractNumId w:val="5"/>
  </w:num>
  <w:num w:numId="2" w16cid:durableId="829902826">
    <w:abstractNumId w:val="8"/>
  </w:num>
  <w:num w:numId="3" w16cid:durableId="1823737006">
    <w:abstractNumId w:val="6"/>
  </w:num>
  <w:num w:numId="4" w16cid:durableId="22050537">
    <w:abstractNumId w:val="0"/>
  </w:num>
  <w:num w:numId="5" w16cid:durableId="1944217998">
    <w:abstractNumId w:val="11"/>
  </w:num>
  <w:num w:numId="6" w16cid:durableId="1083065567">
    <w:abstractNumId w:val="1"/>
  </w:num>
  <w:num w:numId="7" w16cid:durableId="667440774">
    <w:abstractNumId w:val="4"/>
  </w:num>
  <w:num w:numId="8" w16cid:durableId="156042692">
    <w:abstractNumId w:val="2"/>
  </w:num>
  <w:num w:numId="9" w16cid:durableId="758719055">
    <w:abstractNumId w:val="9"/>
  </w:num>
  <w:num w:numId="10" w16cid:durableId="1066874313">
    <w:abstractNumId w:val="3"/>
  </w:num>
  <w:num w:numId="11" w16cid:durableId="1932619476">
    <w:abstractNumId w:val="7"/>
  </w:num>
  <w:num w:numId="12" w16cid:durableId="18564616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E9"/>
    <w:rsid w:val="00003532"/>
    <w:rsid w:val="00012853"/>
    <w:rsid w:val="000365F8"/>
    <w:rsid w:val="00044CA8"/>
    <w:rsid w:val="000606B4"/>
    <w:rsid w:val="00067206"/>
    <w:rsid w:val="00072FB9"/>
    <w:rsid w:val="00094543"/>
    <w:rsid w:val="000C1183"/>
    <w:rsid w:val="000E57F0"/>
    <w:rsid w:val="001069B4"/>
    <w:rsid w:val="00134B86"/>
    <w:rsid w:val="001379D3"/>
    <w:rsid w:val="00163B63"/>
    <w:rsid w:val="0017433E"/>
    <w:rsid w:val="0018273E"/>
    <w:rsid w:val="001905B7"/>
    <w:rsid w:val="001A2508"/>
    <w:rsid w:val="001B4CC6"/>
    <w:rsid w:val="001D6CCA"/>
    <w:rsid w:val="001E6B5F"/>
    <w:rsid w:val="002008E2"/>
    <w:rsid w:val="0024550D"/>
    <w:rsid w:val="0025417D"/>
    <w:rsid w:val="002578E6"/>
    <w:rsid w:val="00271109"/>
    <w:rsid w:val="00274B9E"/>
    <w:rsid w:val="00276EA5"/>
    <w:rsid w:val="002913FC"/>
    <w:rsid w:val="002C0AFE"/>
    <w:rsid w:val="002E5656"/>
    <w:rsid w:val="0031617B"/>
    <w:rsid w:val="00327904"/>
    <w:rsid w:val="00336A83"/>
    <w:rsid w:val="0034253E"/>
    <w:rsid w:val="003433AB"/>
    <w:rsid w:val="00361EA2"/>
    <w:rsid w:val="003674B6"/>
    <w:rsid w:val="00390013"/>
    <w:rsid w:val="00391E04"/>
    <w:rsid w:val="004547C7"/>
    <w:rsid w:val="004C6E2D"/>
    <w:rsid w:val="00503935"/>
    <w:rsid w:val="00503C36"/>
    <w:rsid w:val="00516BAE"/>
    <w:rsid w:val="00532237"/>
    <w:rsid w:val="005353B7"/>
    <w:rsid w:val="005609C5"/>
    <w:rsid w:val="00563E09"/>
    <w:rsid w:val="00576366"/>
    <w:rsid w:val="005A0B98"/>
    <w:rsid w:val="005A15A9"/>
    <w:rsid w:val="005C4DD3"/>
    <w:rsid w:val="005C541D"/>
    <w:rsid w:val="005E5E68"/>
    <w:rsid w:val="005F2C2D"/>
    <w:rsid w:val="00611D40"/>
    <w:rsid w:val="00682BE5"/>
    <w:rsid w:val="00713CF2"/>
    <w:rsid w:val="00720D5B"/>
    <w:rsid w:val="00781233"/>
    <w:rsid w:val="00784153"/>
    <w:rsid w:val="007A5ECF"/>
    <w:rsid w:val="007B3106"/>
    <w:rsid w:val="007B5373"/>
    <w:rsid w:val="007B656C"/>
    <w:rsid w:val="007C54E1"/>
    <w:rsid w:val="007F7685"/>
    <w:rsid w:val="00816388"/>
    <w:rsid w:val="00816ABB"/>
    <w:rsid w:val="00822FA2"/>
    <w:rsid w:val="008269C7"/>
    <w:rsid w:val="00843EF0"/>
    <w:rsid w:val="00846DF0"/>
    <w:rsid w:val="0086787A"/>
    <w:rsid w:val="00870434"/>
    <w:rsid w:val="00892B05"/>
    <w:rsid w:val="0089618D"/>
    <w:rsid w:val="008B217D"/>
    <w:rsid w:val="008F3F1C"/>
    <w:rsid w:val="0091053B"/>
    <w:rsid w:val="0091169B"/>
    <w:rsid w:val="00957A2B"/>
    <w:rsid w:val="00965D61"/>
    <w:rsid w:val="009761FD"/>
    <w:rsid w:val="0097701E"/>
    <w:rsid w:val="009773D8"/>
    <w:rsid w:val="009805DD"/>
    <w:rsid w:val="00985ED3"/>
    <w:rsid w:val="009B30A1"/>
    <w:rsid w:val="009B669B"/>
    <w:rsid w:val="009E6E76"/>
    <w:rsid w:val="009F10DC"/>
    <w:rsid w:val="009F6513"/>
    <w:rsid w:val="00A061AB"/>
    <w:rsid w:val="00A13230"/>
    <w:rsid w:val="00A61153"/>
    <w:rsid w:val="00A67391"/>
    <w:rsid w:val="00A83C28"/>
    <w:rsid w:val="00A916C2"/>
    <w:rsid w:val="00A91D72"/>
    <w:rsid w:val="00AA4556"/>
    <w:rsid w:val="00AB7A4B"/>
    <w:rsid w:val="00AC1891"/>
    <w:rsid w:val="00AD3A05"/>
    <w:rsid w:val="00AE4237"/>
    <w:rsid w:val="00B14CD2"/>
    <w:rsid w:val="00B215F3"/>
    <w:rsid w:val="00B2602D"/>
    <w:rsid w:val="00B27933"/>
    <w:rsid w:val="00B37030"/>
    <w:rsid w:val="00B40E9D"/>
    <w:rsid w:val="00B45202"/>
    <w:rsid w:val="00B53F21"/>
    <w:rsid w:val="00BA2F4D"/>
    <w:rsid w:val="00BC2C78"/>
    <w:rsid w:val="00BC6D41"/>
    <w:rsid w:val="00BE3A6D"/>
    <w:rsid w:val="00C15552"/>
    <w:rsid w:val="00C90732"/>
    <w:rsid w:val="00C97AD3"/>
    <w:rsid w:val="00CD0717"/>
    <w:rsid w:val="00CD7BC9"/>
    <w:rsid w:val="00CE1969"/>
    <w:rsid w:val="00CE2DA9"/>
    <w:rsid w:val="00CE45FF"/>
    <w:rsid w:val="00CF18FA"/>
    <w:rsid w:val="00CF4EBC"/>
    <w:rsid w:val="00D05912"/>
    <w:rsid w:val="00D07BB6"/>
    <w:rsid w:val="00D151F1"/>
    <w:rsid w:val="00D32A1B"/>
    <w:rsid w:val="00D3426F"/>
    <w:rsid w:val="00D3538A"/>
    <w:rsid w:val="00D46CE9"/>
    <w:rsid w:val="00D61F22"/>
    <w:rsid w:val="00DA686E"/>
    <w:rsid w:val="00DC2FBC"/>
    <w:rsid w:val="00DE0CB7"/>
    <w:rsid w:val="00DE4444"/>
    <w:rsid w:val="00DE4E59"/>
    <w:rsid w:val="00DE529B"/>
    <w:rsid w:val="00DE59B4"/>
    <w:rsid w:val="00E516C8"/>
    <w:rsid w:val="00E83442"/>
    <w:rsid w:val="00E84822"/>
    <w:rsid w:val="00E96905"/>
    <w:rsid w:val="00EA61BA"/>
    <w:rsid w:val="00EA73F5"/>
    <w:rsid w:val="00EE5382"/>
    <w:rsid w:val="00EF186F"/>
    <w:rsid w:val="00F0704E"/>
    <w:rsid w:val="00F122AD"/>
    <w:rsid w:val="00F17232"/>
    <w:rsid w:val="00F23533"/>
    <w:rsid w:val="00F462C6"/>
    <w:rsid w:val="00F47430"/>
    <w:rsid w:val="00F500BF"/>
    <w:rsid w:val="00F67A0E"/>
    <w:rsid w:val="00F70659"/>
    <w:rsid w:val="00F968BE"/>
    <w:rsid w:val="00FC13C1"/>
    <w:rsid w:val="00FE5BD1"/>
    <w:rsid w:val="00FF1082"/>
    <w:rsid w:val="00FF59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8791"/>
  <w15:chartTrackingRefBased/>
  <w15:docId w15:val="{F183280B-8A3F-4968-8624-6AF8D605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353B7"/>
    <w:pPr>
      <w:widowControl w:val="0"/>
      <w:autoSpaceDE w:val="0"/>
      <w:autoSpaceDN w:val="0"/>
      <w:spacing w:before="13" w:after="0" w:line="240" w:lineRule="auto"/>
      <w:ind w:left="20"/>
      <w:outlineLvl w:val="0"/>
    </w:pPr>
    <w:rPr>
      <w:rFonts w:ascii="Arimo" w:eastAsia="Arimo" w:hAnsi="Arimo" w:cs="Arimo"/>
      <w:b/>
      <w:bCs/>
      <w:kern w:val="0"/>
      <w:sz w:val="20"/>
      <w:szCs w:val="2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C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6CE9"/>
  </w:style>
  <w:style w:type="paragraph" w:styleId="Piedepgina">
    <w:name w:val="footer"/>
    <w:basedOn w:val="Normal"/>
    <w:link w:val="PiedepginaCar"/>
    <w:uiPriority w:val="99"/>
    <w:unhideWhenUsed/>
    <w:rsid w:val="00D46C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6CE9"/>
  </w:style>
  <w:style w:type="paragraph" w:styleId="Prrafodelista">
    <w:name w:val="List Paragraph"/>
    <w:basedOn w:val="Normal"/>
    <w:uiPriority w:val="34"/>
    <w:qFormat/>
    <w:rsid w:val="00D46CE9"/>
    <w:pPr>
      <w:ind w:left="720"/>
      <w:contextualSpacing/>
    </w:pPr>
  </w:style>
  <w:style w:type="table" w:styleId="Tablaconcuadrcula">
    <w:name w:val="Table Grid"/>
    <w:basedOn w:val="Tablanormal"/>
    <w:uiPriority w:val="39"/>
    <w:rsid w:val="0031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669B"/>
    <w:rPr>
      <w:sz w:val="16"/>
      <w:szCs w:val="16"/>
    </w:rPr>
  </w:style>
  <w:style w:type="paragraph" w:styleId="Textocomentario">
    <w:name w:val="annotation text"/>
    <w:basedOn w:val="Normal"/>
    <w:link w:val="TextocomentarioCar"/>
    <w:uiPriority w:val="99"/>
    <w:unhideWhenUsed/>
    <w:rsid w:val="009B669B"/>
    <w:pPr>
      <w:spacing w:after="0" w:line="240" w:lineRule="auto"/>
    </w:pPr>
    <w:rPr>
      <w:rFonts w:ascii="Times New Roman" w:eastAsia="Times New Roman" w:hAnsi="Times New Roman" w:cs="Times New Roman"/>
      <w:kern w:val="0"/>
      <w:sz w:val="20"/>
      <w:szCs w:val="20"/>
      <w:lang w:eastAsia="es-ES"/>
      <w14:ligatures w14:val="none"/>
    </w:rPr>
  </w:style>
  <w:style w:type="character" w:customStyle="1" w:styleId="TextocomentarioCar">
    <w:name w:val="Texto comentario Car"/>
    <w:basedOn w:val="Fuentedeprrafopredeter"/>
    <w:link w:val="Textocomentario"/>
    <w:uiPriority w:val="99"/>
    <w:rsid w:val="009B669B"/>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044CA8"/>
    <w:pPr>
      <w:spacing w:after="160"/>
    </w:pPr>
    <w:rPr>
      <w:rFonts w:asciiTheme="minorHAnsi" w:eastAsiaTheme="minorHAnsi" w:hAnsiTheme="minorHAnsi" w:cstheme="minorBidi"/>
      <w:b/>
      <w:bCs/>
      <w:kern w:val="2"/>
      <w:lang w:eastAsia="en-US"/>
      <w14:ligatures w14:val="standardContextual"/>
    </w:rPr>
  </w:style>
  <w:style w:type="character" w:customStyle="1" w:styleId="AsuntodelcomentarioCar">
    <w:name w:val="Asunto del comentario Car"/>
    <w:basedOn w:val="TextocomentarioCar"/>
    <w:link w:val="Asuntodelcomentario"/>
    <w:uiPriority w:val="99"/>
    <w:semiHidden/>
    <w:rsid w:val="00044CA8"/>
    <w:rPr>
      <w:rFonts w:ascii="Times New Roman" w:eastAsia="Times New Roman" w:hAnsi="Times New Roman" w:cs="Times New Roman"/>
      <w:b/>
      <w:bCs/>
      <w:kern w:val="0"/>
      <w:sz w:val="20"/>
      <w:szCs w:val="20"/>
      <w:lang w:eastAsia="es-ES"/>
      <w14:ligatures w14:val="none"/>
    </w:rPr>
  </w:style>
  <w:style w:type="paragraph" w:styleId="Revisin">
    <w:name w:val="Revision"/>
    <w:hidden/>
    <w:uiPriority w:val="99"/>
    <w:semiHidden/>
    <w:rsid w:val="00094543"/>
    <w:pPr>
      <w:spacing w:after="0" w:line="240" w:lineRule="auto"/>
    </w:pPr>
  </w:style>
  <w:style w:type="character" w:customStyle="1" w:styleId="ui-provider">
    <w:name w:val="ui-provider"/>
    <w:basedOn w:val="Fuentedeprrafopredeter"/>
    <w:rsid w:val="00D07BB6"/>
  </w:style>
  <w:style w:type="character" w:customStyle="1" w:styleId="Ttulo1Car">
    <w:name w:val="Título 1 Car"/>
    <w:basedOn w:val="Fuentedeprrafopredeter"/>
    <w:link w:val="Ttulo1"/>
    <w:uiPriority w:val="9"/>
    <w:rsid w:val="005353B7"/>
    <w:rPr>
      <w:rFonts w:ascii="Arimo" w:eastAsia="Arimo" w:hAnsi="Arimo" w:cs="Arimo"/>
      <w:b/>
      <w:bCs/>
      <w:kern w:val="0"/>
      <w:sz w:val="20"/>
      <w:szCs w:val="20"/>
      <w14:ligatures w14:val="none"/>
    </w:rPr>
  </w:style>
  <w:style w:type="paragraph" w:styleId="Textoindependiente">
    <w:name w:val="Body Text"/>
    <w:basedOn w:val="Normal"/>
    <w:link w:val="TextoindependienteCar"/>
    <w:rsid w:val="005353B7"/>
    <w:pPr>
      <w:spacing w:after="0" w:line="240" w:lineRule="auto"/>
    </w:pPr>
    <w:rPr>
      <w:rFonts w:ascii="Times New Roman" w:eastAsia="Times New Roman" w:hAnsi="Times New Roman" w:cs="Times New Roman"/>
      <w:kern w:val="0"/>
      <w:sz w:val="28"/>
      <w:szCs w:val="20"/>
      <w:lang w:eastAsia="es-ES"/>
      <w14:ligatures w14:val="none"/>
    </w:rPr>
  </w:style>
  <w:style w:type="character" w:customStyle="1" w:styleId="TextoindependienteCar">
    <w:name w:val="Texto independiente Car"/>
    <w:basedOn w:val="Fuentedeprrafopredeter"/>
    <w:link w:val="Textoindependiente"/>
    <w:rsid w:val="005353B7"/>
    <w:rPr>
      <w:rFonts w:ascii="Times New Roman" w:eastAsia="Times New Roman" w:hAnsi="Times New Roman" w:cs="Times New Roman"/>
      <w:kern w:val="0"/>
      <w:sz w:val="28"/>
      <w:szCs w:val="20"/>
      <w:lang w:eastAsia="es-ES"/>
      <w14:ligatures w14:val="none"/>
    </w:rPr>
  </w:style>
  <w:style w:type="table" w:customStyle="1" w:styleId="TableNormal">
    <w:name w:val="Table Normal"/>
    <w:uiPriority w:val="2"/>
    <w:semiHidden/>
    <w:unhideWhenUsed/>
    <w:qFormat/>
    <w:rsid w:val="005353B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53B7"/>
    <w:pPr>
      <w:widowControl w:val="0"/>
      <w:autoSpaceDE w:val="0"/>
      <w:autoSpaceDN w:val="0"/>
      <w:spacing w:before="58" w:after="0" w:line="240" w:lineRule="auto"/>
    </w:pPr>
    <w:rPr>
      <w:rFonts w:ascii="Arimo" w:eastAsia="Arimo" w:hAnsi="Arimo" w:cs="Arim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403">
      <w:bodyDiv w:val="1"/>
      <w:marLeft w:val="0"/>
      <w:marRight w:val="0"/>
      <w:marTop w:val="0"/>
      <w:marBottom w:val="0"/>
      <w:divBdr>
        <w:top w:val="none" w:sz="0" w:space="0" w:color="auto"/>
        <w:left w:val="none" w:sz="0" w:space="0" w:color="auto"/>
        <w:bottom w:val="none" w:sz="0" w:space="0" w:color="auto"/>
        <w:right w:val="none" w:sz="0" w:space="0" w:color="auto"/>
      </w:divBdr>
    </w:div>
    <w:div w:id="311064248">
      <w:bodyDiv w:val="1"/>
      <w:marLeft w:val="0"/>
      <w:marRight w:val="0"/>
      <w:marTop w:val="0"/>
      <w:marBottom w:val="0"/>
      <w:divBdr>
        <w:top w:val="none" w:sz="0" w:space="0" w:color="auto"/>
        <w:left w:val="none" w:sz="0" w:space="0" w:color="auto"/>
        <w:bottom w:val="none" w:sz="0" w:space="0" w:color="auto"/>
        <w:right w:val="none" w:sz="0" w:space="0" w:color="auto"/>
      </w:divBdr>
    </w:div>
    <w:div w:id="701782891">
      <w:bodyDiv w:val="1"/>
      <w:marLeft w:val="0"/>
      <w:marRight w:val="0"/>
      <w:marTop w:val="0"/>
      <w:marBottom w:val="0"/>
      <w:divBdr>
        <w:top w:val="none" w:sz="0" w:space="0" w:color="auto"/>
        <w:left w:val="none" w:sz="0" w:space="0" w:color="auto"/>
        <w:bottom w:val="none" w:sz="0" w:space="0" w:color="auto"/>
        <w:right w:val="none" w:sz="0" w:space="0" w:color="auto"/>
      </w:divBdr>
    </w:div>
    <w:div w:id="979699445">
      <w:bodyDiv w:val="1"/>
      <w:marLeft w:val="0"/>
      <w:marRight w:val="0"/>
      <w:marTop w:val="0"/>
      <w:marBottom w:val="0"/>
      <w:divBdr>
        <w:top w:val="none" w:sz="0" w:space="0" w:color="auto"/>
        <w:left w:val="none" w:sz="0" w:space="0" w:color="auto"/>
        <w:bottom w:val="none" w:sz="0" w:space="0" w:color="auto"/>
        <w:right w:val="none" w:sz="0" w:space="0" w:color="auto"/>
      </w:divBdr>
    </w:div>
    <w:div w:id="1088649304">
      <w:bodyDiv w:val="1"/>
      <w:marLeft w:val="0"/>
      <w:marRight w:val="0"/>
      <w:marTop w:val="0"/>
      <w:marBottom w:val="0"/>
      <w:divBdr>
        <w:top w:val="none" w:sz="0" w:space="0" w:color="auto"/>
        <w:left w:val="none" w:sz="0" w:space="0" w:color="auto"/>
        <w:bottom w:val="none" w:sz="0" w:space="0" w:color="auto"/>
        <w:right w:val="none" w:sz="0" w:space="0" w:color="auto"/>
      </w:divBdr>
    </w:div>
    <w:div w:id="1151563308">
      <w:bodyDiv w:val="1"/>
      <w:marLeft w:val="0"/>
      <w:marRight w:val="0"/>
      <w:marTop w:val="0"/>
      <w:marBottom w:val="0"/>
      <w:divBdr>
        <w:top w:val="none" w:sz="0" w:space="0" w:color="auto"/>
        <w:left w:val="none" w:sz="0" w:space="0" w:color="auto"/>
        <w:bottom w:val="none" w:sz="0" w:space="0" w:color="auto"/>
        <w:right w:val="none" w:sz="0" w:space="0" w:color="auto"/>
      </w:divBdr>
    </w:div>
    <w:div w:id="1662537142">
      <w:bodyDiv w:val="1"/>
      <w:marLeft w:val="0"/>
      <w:marRight w:val="0"/>
      <w:marTop w:val="0"/>
      <w:marBottom w:val="0"/>
      <w:divBdr>
        <w:top w:val="none" w:sz="0" w:space="0" w:color="auto"/>
        <w:left w:val="none" w:sz="0" w:space="0" w:color="auto"/>
        <w:bottom w:val="none" w:sz="0" w:space="0" w:color="auto"/>
        <w:right w:val="none" w:sz="0" w:space="0" w:color="auto"/>
      </w:divBdr>
    </w:div>
    <w:div w:id="2090495817">
      <w:bodyDiv w:val="1"/>
      <w:marLeft w:val="0"/>
      <w:marRight w:val="0"/>
      <w:marTop w:val="0"/>
      <w:marBottom w:val="0"/>
      <w:divBdr>
        <w:top w:val="none" w:sz="0" w:space="0" w:color="auto"/>
        <w:left w:val="none" w:sz="0" w:space="0" w:color="auto"/>
        <w:bottom w:val="none" w:sz="0" w:space="0" w:color="auto"/>
        <w:right w:val="none" w:sz="0" w:space="0" w:color="auto"/>
      </w:divBdr>
    </w:div>
    <w:div w:id="21204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1243a1-2bfc-4d2e-9abb-b336dab154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1EFA3182DFA4AAAD213C3381342FF" ma:contentTypeVersion="12" ma:contentTypeDescription="Create a new document." ma:contentTypeScope="" ma:versionID="a0ace9e8359fe63ef2f181b7065742e4">
  <xsd:schema xmlns:xsd="http://www.w3.org/2001/XMLSchema" xmlns:xs="http://www.w3.org/2001/XMLSchema" xmlns:p="http://schemas.microsoft.com/office/2006/metadata/properties" xmlns:ns3="2a1243a1-2bfc-4d2e-9abb-b336dab154ae" xmlns:ns4="090969a3-f486-45f7-b420-d5193c2e2b72" targetNamespace="http://schemas.microsoft.com/office/2006/metadata/properties" ma:root="true" ma:fieldsID="26d6e16c23cbe9da4e4f94603a310ba7" ns3:_="" ns4:_="">
    <xsd:import namespace="2a1243a1-2bfc-4d2e-9abb-b336dab154ae"/>
    <xsd:import namespace="090969a3-f486-45f7-b420-d5193c2e2b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243a1-2bfc-4d2e-9abb-b336dab15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969a3-f486-45f7-b420-d5193c2e2b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69C56-144B-4879-A52A-488A116DE5DE}">
  <ds:schemaRefs>
    <ds:schemaRef ds:uri="http://schemas.microsoft.com/office/2006/metadata/properties"/>
    <ds:schemaRef ds:uri="http://schemas.microsoft.com/office/infopath/2007/PartnerControls"/>
    <ds:schemaRef ds:uri="2a1243a1-2bfc-4d2e-9abb-b336dab154ae"/>
  </ds:schemaRefs>
</ds:datastoreItem>
</file>

<file path=customXml/itemProps2.xml><?xml version="1.0" encoding="utf-8"?>
<ds:datastoreItem xmlns:ds="http://schemas.openxmlformats.org/officeDocument/2006/customXml" ds:itemID="{546B34AB-916C-49A5-98A3-14D43F330008}">
  <ds:schemaRefs>
    <ds:schemaRef ds:uri="http://schemas.microsoft.com/sharepoint/v3/contenttype/forms"/>
  </ds:schemaRefs>
</ds:datastoreItem>
</file>

<file path=customXml/itemProps3.xml><?xml version="1.0" encoding="utf-8"?>
<ds:datastoreItem xmlns:ds="http://schemas.openxmlformats.org/officeDocument/2006/customXml" ds:itemID="{C0F47612-514E-4FA9-963A-52274805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243a1-2bfc-4d2e-9abb-b336dab154ae"/>
    <ds:schemaRef ds:uri="090969a3-f486-45f7-b420-d5193c2e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F4F0E-834F-4D06-89AC-EA746D61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1589</Words>
  <Characters>8743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Yagüe Sabido, Ismael</dc:creator>
  <cp:keywords/>
  <dc:description/>
  <cp:lastModifiedBy>Yagüe Sabido, Ismael</cp:lastModifiedBy>
  <cp:revision>4</cp:revision>
  <cp:lastPrinted>2023-09-29T10:27:00Z</cp:lastPrinted>
  <dcterms:created xsi:type="dcterms:W3CDTF">2024-08-20T08:38:00Z</dcterms:created>
  <dcterms:modified xsi:type="dcterms:W3CDTF">2024-08-20T09:10:00Z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0x0101009111EFA3182DFA4AAAD213C3381342FF</vt:lpwstr>
  </property>
</Properties>
</file>