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D95C" w14:textId="186EC069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FF4CF2" w:rsidRPr="00FF4CF2">
        <w:rPr>
          <w:rFonts w:ascii="Calibri" w:hAnsi="Calibri" w:cs="Arial"/>
          <w:szCs w:val="24"/>
        </w:rPr>
        <w:t>Real Decreto por el que se modifican diversos reales decretos que regulan los fondos y programas operativos de las organizaciones de productores del sector de las frutas y hortalizas y su intervención sectorial, la intervención sectorial vitivinícola y la intervención sectorial apícola en el marco del Plan Estratégico de la Política Agrícola Común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4D7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3692"/>
    <w:rsid w:val="00503BDF"/>
    <w:rsid w:val="005175A1"/>
    <w:rsid w:val="005537C4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124F9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2678E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18</cp:revision>
  <cp:lastPrinted>2017-02-07T09:12:00Z</cp:lastPrinted>
  <dcterms:created xsi:type="dcterms:W3CDTF">2023-01-23T18:45:00Z</dcterms:created>
  <dcterms:modified xsi:type="dcterms:W3CDTF">2024-06-28T09:36:00Z</dcterms:modified>
</cp:coreProperties>
</file>